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Broker downgrades highlight shift in ASX focus from sectors to individual companies amid rising cost pressures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Broker downgrades across the ASX All Ordinaries are drawing attention to a market that is increasingly being judged stock by stock rather than sector by sector. Mining names such as Fortescue and Northern Star Resources have come under renewed scrutiny as analysts reassess cost assumptions, while travel operator Webjet and insurer Suncorp have also been caught in a more cautious wave of sentiment. The common thread is not a broad collapse in fundamentals, but a sharper focus on margin pressure, capital intensity and the durability of earnings in an uncertain global backdrop.</w:t>
      </w:r>
      <w:r/>
    </w:p>
    <w:p>
      <w:r/>
      <w:r>
        <w:t>In resources, the concern is less about demand disappearing than about the cost of keeping production on track. According to market commentary from Kalkine Media, Fortescue remains supported by iron ore demand, but investors are being asked to look beyond current output and consider what happens as lower-cost inventory runs off and operating expenses rise. Northern Star faces a similar reassessment, with brokers weighing higher capital spending against the appeal of a sector that still benefits from firm gold prices. The Motley Fool Australia said this week’s downgrades reflected exactly that kind of shift in expectations, with analysts tempering enthusiasm even where the underlying businesses remain sound.</w:t>
      </w:r>
      <w:r/>
    </w:p>
    <w:p>
      <w:r/>
      <w:r>
        <w:t>The travel sector is facing a different problem: not so much cost inflation as uncertainty over demand. Webjet’s downgrade reflects a more guarded view of consumer behaviour and the wider economic environment, with brokers appearing reluctant to assume a smooth rebound in discretionary spending. That caution has been reinforced by broader market volatility, including concerns around geopolitical tensions and their knock-on effects for risk appetite. In that setting, even companies with resilient operations can find valuation support harder to sustain.</w:t>
      </w:r>
      <w:r/>
    </w:p>
    <w:p>
      <w:r/>
      <w:r>
        <w:t>Financial stocks are not under the same pressure as miners or travel operators, but the tone has still softened. Suncorp’s downgrade suggests that stable performance is no longer enough to command the same optimism it once did, as analysts trim expectations for further upside. The broader message from recent broker moves is that investors are becoming more selective about what level of growth deserves a premium. In a market where earnings remain solid but surprise potential is narrowing, caution is replacing enthusiasm.</w:t>
      </w:r>
      <w:r/>
    </w:p>
    <w:p>
      <w:r/>
      <w:r>
        <w:t>That does not mean the ASX has turned decisively negative. It does, however, underline how quickly broker ratings can shift when cost forecasts, commodity assumptions and macro conditions change at the same time. Recent reporting from The Motley Fool Australia and market briefings elsewhere shows that downgrades have touched multiple corners of the index, while some mining stocks have also been upgraded when commodity trends improve. The result is a market in which expectations are being reset constantly, and where the most important question is no longer whether a company is performing, but whether it is performing better than the market now expects.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https://kalkinemedia.com/au/news/market-updates/asx-all-ords-stocks-downgraded-whats-driving-broker-caution</w:t>
        </w:r>
      </w:hyperlink>
      <w:r>
        <w:t xml:space="preserve"> - Please view link - unable to able to access data</w:t>
      </w:r>
      <w:r/>
    </w:p>
    <w:p>
      <w:pPr>
        <w:pStyle w:val="ListNumber"/>
        <w:spacing w:line="240" w:lineRule="auto"/>
        <w:ind w:left="720"/>
      </w:pPr>
      <w:r/>
      <w:hyperlink r:id="rId9">
        <w:r>
          <w:rPr>
            <w:color w:val="0000EE"/>
            <w:u w:val="single"/>
          </w:rPr>
          <w:t>https://kalkinemedia.com/au/news/market-updates/asx-all-ords-stocks-downgraded-whats-driving-broker-caution</w:t>
        </w:r>
      </w:hyperlink>
      <w:r>
        <w:t xml:space="preserve"> - This article discusses recent downgrades of ASX All Ords stocks, focusing on mining, travel, and financial sectors. It highlights how rising costs, sector-specific challenges, and global uncertainty are reshaping broker expectations. Companies like Fortescue Ltd and Northern Star Resources Ltd are under scrutiny due to increasing operational expenses and capital expenditures. The travel sector, represented by Webjet Group Ltd, faces downgrades amid fluctuating demand and economic conditions. The financial sector, exemplified by Suncorp Group Ltd, shows moderated optimism despite stable performance. The piece underscores the dynamic nature of the Australian share market and the importance of adaptability.</w:t>
      </w:r>
      <w:r/>
    </w:p>
    <w:p>
      <w:pPr>
        <w:pStyle w:val="ListNumber"/>
        <w:spacing w:line="240" w:lineRule="auto"/>
        <w:ind w:left="720"/>
      </w:pPr>
      <w:r/>
      <w:hyperlink r:id="rId10">
        <w:r>
          <w:rPr>
            <w:color w:val="0000EE"/>
            <w:u w:val="single"/>
          </w:rPr>
          <w:t>https://www.fool.com.au/2026/04/30/5-asx-all-ords-shares-downgraded-by-brokers-this-week/</w:t>
        </w:r>
      </w:hyperlink>
      <w:r>
        <w:t xml:space="preserve"> - This article reports on five ASX All Ords shares downgraded by brokers amid ongoing market volatility due to the war in Iran. The companies affected include Northern Star Resources Ltd, Fortescue Ltd, Webjet Group Ltd, and Suncorp Group Ltd. The downgrades are attributed to factors such as ongoing cost pressures, increased capital expenditure, and cautious outlooks in the travel sector. The piece provides insights into the reasons behind these rating changes and their potential impact on the affected companies.</w:t>
      </w:r>
      <w:r/>
    </w:p>
    <w:p>
      <w:pPr>
        <w:pStyle w:val="ListNumber"/>
        <w:spacing w:line="240" w:lineRule="auto"/>
        <w:ind w:left="720"/>
      </w:pPr>
      <w:r/>
      <w:hyperlink r:id="rId11">
        <w:r>
          <w:rPr>
            <w:color w:val="0000EE"/>
            <w:u w:val="single"/>
          </w:rPr>
          <w:t>https://www.fool.com.au/2025/10/13/macquarie-recently-downgraded-these-6-asx-all-ords-mining-stocks/</w:t>
        </w:r>
      </w:hyperlink>
      <w:r>
        <w:t xml:space="preserve"> - This article discusses Macquarie's recent downgrades of six ASX All Ords mining stocks, citing valuation concerns and strong share price performances. The downgrades reflect a reassessment of the resources sector outlook, influenced by factors such as exceptional year-to-date share price performance, revised production forecasts, and concerns about future commodity price sustainability. The piece provides an analysis of the factors leading to these downgrades and their potential implications for investors.</w:t>
      </w:r>
      <w:r/>
    </w:p>
    <w:p>
      <w:pPr>
        <w:pStyle w:val="ListNumber"/>
        <w:spacing w:line="240" w:lineRule="auto"/>
        <w:ind w:left="720"/>
      </w:pPr>
      <w:r/>
      <w:hyperlink r:id="rId12">
        <w:r>
          <w:rPr>
            <w:color w:val="0000EE"/>
            <w:u w:val="single"/>
          </w:rPr>
          <w:t>https://www.capitalbrief.com/briefing/australian-shares-to-fall-as-ai-spending-doubts-rattle-markets-ahead-of-earnings-c6d4e6cf-f03c-4fdb-86fe-daf52a6bc057/</w:t>
        </w:r>
      </w:hyperlink>
      <w:r>
        <w:t xml:space="preserve"> - This article reports on the Australian share market opening lower, with mining stocks dragging the market down. The decline is attributed to concerns over returns on artificial intelligence investment and its ability to sustain elevated infrastructure spending. The S&amp;P/ASX 200 index was down by 0.46%, with mining being the weakest performing sector. The piece provides an overview of the market's performance and the factors influencing the decline.</w:t>
      </w:r>
      <w:r/>
    </w:p>
    <w:p>
      <w:pPr>
        <w:pStyle w:val="ListNumber"/>
        <w:spacing w:line="240" w:lineRule="auto"/>
        <w:ind w:left="720"/>
      </w:pPr>
      <w:r/>
      <w:hyperlink r:id="rId13">
        <w:r>
          <w:rPr>
            <w:color w:val="0000EE"/>
            <w:u w:val="single"/>
          </w:rPr>
          <w:t>https://economictimes.indiatimes.com/news/international/australia/sp/asx-200-edges-lower-as-australian-shares-end-flat-financials-decline-mining-gains-check-top-gainers-and-losers-and-sector-wise-performance/articleshow/128148101.cms?from=mdr</w:t>
        </w:r>
      </w:hyperlink>
      <w:r>
        <w:t xml:space="preserve"> - This article reports on the S&amp;P/ASX 200 index edging lower, with Australian shares ending flat. Gains in mining and gold stocks were countered by drops in banks, and insurance companies faced pressure after a new AI tool launch. The piece provides an overview of the market's performance, highlighting the top gainers and losers, and sector-wise performance.</w:t>
      </w:r>
      <w:r/>
    </w:p>
    <w:p>
      <w:pPr>
        <w:pStyle w:val="ListNumber"/>
        <w:spacing w:line="240" w:lineRule="auto"/>
        <w:ind w:left="720"/>
      </w:pPr>
      <w:r/>
      <w:hyperlink r:id="rId14">
        <w:r>
          <w:rPr>
            <w:color w:val="0000EE"/>
            <w:u w:val="single"/>
          </w:rPr>
          <w:t>https://www.fool.com.au/2025/10/23/these-2-asx-all-ords-mining-stocks-have-been-upgraded-to-outperform/</w:t>
        </w:r>
      </w:hyperlink>
      <w:r>
        <w:t xml:space="preserve"> - This article discusses the upgrades of two ASX All Ords mining stocks, 29Metals and Aeris Resources, to 'outperform' by Macquarie. The upgrades are attributed to higher copper prices driving earnings higher. The piece provides insights into the factors leading to these upgrades and their potential implications for investors.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news/market-updates/asx-all-ords-stocks-downgraded-whats-driving-broker-caution" TargetMode="External"/><Relationship Id="rId10" Type="http://schemas.openxmlformats.org/officeDocument/2006/relationships/hyperlink" Target="https://www.fool.com.au/2026/04/30/5-asx-all-ords-shares-downgraded-by-brokers-this-week/" TargetMode="External"/><Relationship Id="rId11" Type="http://schemas.openxmlformats.org/officeDocument/2006/relationships/hyperlink" Target="https://www.fool.com.au/2025/10/13/macquarie-recently-downgraded-these-6-asx-all-ords-mining-stocks/" TargetMode="External"/><Relationship Id="rId12" Type="http://schemas.openxmlformats.org/officeDocument/2006/relationships/hyperlink" Target="https://www.capitalbrief.com/briefing/australian-shares-to-fall-as-ai-spending-doubts-rattle-markets-ahead-of-earnings-c6d4e6cf-f03c-4fdb-86fe-daf52a6bc057/" TargetMode="External"/><Relationship Id="rId13" Type="http://schemas.openxmlformats.org/officeDocument/2006/relationships/hyperlink" Target="https://economictimes.indiatimes.com/news/international/australia/sp/asx-200-edges-lower-as-australian-shares-end-flat-financials-decline-mining-gains-check-top-gainers-and-losers-and-sector-wise-performance/articleshow/128148101.cms?from=mdr" TargetMode="External"/><Relationship Id="rId14" Type="http://schemas.openxmlformats.org/officeDocument/2006/relationships/hyperlink" Target="https://www.fool.com.au/2025/10/23/these-2-asx-all-ords-mining-stocks-have-been-upgraded-to-outperfor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