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 halts trading of 14 Asian companies amid manipulation fears and cross-border regulation crackdown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Securities and Exchange Commission has halted trading in 14 Asia-based companies that listed on Nasdaq or the New York Stock Exchange within the past two years, a sharp intervention that underscores the agency’s growing attention to foreign issuers and suspected manipulation linked to social media activity. In a February testimony to the Senate Banking Committee, SEC chairman Paul Atkins said he was working within securities laws to protect investors from those who seek to use international borders to evade U.S. protections, adding that investor protection must match the global reach of markets.</w:t>
      </w:r>
      <w:r/>
    </w:p>
    <w:p>
      <w:r/>
      <w:r>
        <w:t>The companies span a range of businesses, from beauty and food services to online travel, digital advertising and traditional Chinese medicine, and most were founded more than a decade ago. They share several traits that appear to have drawn regulatory scrutiny: all are headquartered in Asia, most are incorporated offshore, and nearly all came to market through small recent offerings. According to the material supplied, 12 of the 14 floated in 2025, two in 2024, and all were microcap issuers at the time of their IPOs, with offering proceeds of between $5 million and $15 million. Thirteen priced at $4 a share, the minimum Nasdaq and NYSE threshold.</w:t>
      </w:r>
      <w:r/>
    </w:p>
    <w:p>
      <w:r/>
      <w:r>
        <w:t>The SEC’s orders are described as largely identical, each citing potential manipulation through recommendations posted by unknown persons on social media and suggesting the activity was designed to inflate share prices and trading volume. In several cases, stock moves were extreme: one company’s shares jumped from $4 to $29.36 in just 10 days, while another lingered in a narrow range for months before suddenly spiking to $207 and then collapsing within a week. Although the SEC can suspend trading for only 10 business days, Nasdaq and NYSE have kept the affected stocks halted beyond that period, pending further information.</w:t>
      </w:r>
      <w:r/>
    </w:p>
    <w:p>
      <w:r/>
      <w:r>
        <w:t>That prolonged uncertainty is already producing wider fallout. The companies say they are cooperating and deny involvement in any manipulation, while some have disclosed changes to directors, officers, auditors or even headquarters since trading was suspended. Two firms, Charming Medical and Smart Digital Group, have also been hit with securities fraud lawsuits, with plaintiffs alleging that tiny public floats and inadequate disclosures left investors exposed to pump-and-dump schemes. At the same time, Nasdaq has proposed a rule that would give it discretion to delist issuers whose stocks have been suspended by the SEC, even where the trading appears to have been driven by third parties.</w:t>
      </w:r>
      <w:r/>
    </w:p>
    <w:p>
      <w:r/>
      <w:r>
        <w:t>For foreign companies, particularly those in Asia seeking access to U.S. markets, the message is becoming harder to ignore. Nasdaq’s own recent enforcement update said the SEC has sharpened its focus on transnational fraud, including through a cross-border task force formed in 2025, and the exchange has separately proposed tightening listing standards where securities may be vulnerable to manipulative trading. The practical result is that issuers with modest floats and thin trading histories may face not only suspension, but the risk of deeper regulatory review, investor litigation and possible removal from the market altogether.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https://www.jdsupra.com/legalnews/what-foreign-issuers-should-know-about-6886968/</w:t>
        </w:r>
      </w:hyperlink>
      <w:r>
        <w:t xml:space="preserve"> - Please view link - unable to able to access data</w:t>
      </w:r>
      <w:r/>
    </w:p>
    <w:p>
      <w:pPr>
        <w:pStyle w:val="ListNumber"/>
        <w:spacing w:line="240" w:lineRule="auto"/>
        <w:ind w:left="720"/>
      </w:pPr>
      <w:r/>
      <w:hyperlink r:id="rId9">
        <w:r>
          <w:rPr>
            <w:color w:val="0000EE"/>
            <w:u w:val="single"/>
          </w:rPr>
          <w:t>https://www.jdsupra.com/legalnews/what-foreign-issuers-should-know-about-6886968/</w:t>
        </w:r>
      </w:hyperlink>
      <w:r>
        <w:t xml:space="preserve"> - This article discusses the SEC's suspension of trading for 14 Asia-based companies listed on Nasdaq and the NYSE due to potential market manipulation. It highlights the SEC's focus on foreign issuers, aligning with the 'America First' policy, and notes that trading suspensions were often based on recommendations made via social media by unknown individuals. The piece also mentions Nasdaq's proposed rule change to delist companies under SEC trading suspensions, emphasizing the need for foreign issuers to assess their vulnerability to market manipulation and develop response plans.</w:t>
      </w:r>
      <w:r/>
    </w:p>
    <w:p>
      <w:pPr>
        <w:pStyle w:val="ListNumber"/>
        <w:spacing w:line="240" w:lineRule="auto"/>
        <w:ind w:left="720"/>
      </w:pPr>
      <w:r/>
      <w:hyperlink r:id="rId10">
        <w:r>
          <w:rPr>
            <w:color w:val="0000EE"/>
            <w:u w:val="single"/>
          </w:rPr>
          <w:t>https://investigations.cooley.com/2026/04/28/what-foreign-issuers-should-know-about-sec-trading-suspensions/</w:t>
        </w:r>
      </w:hyperlink>
      <w:r>
        <w:t xml:space="preserve"> - This article provides an overview of the SEC's suspension of trading for 14 Asia-based companies listed on Nasdaq and the NYSE due to potential market manipulation. It discusses the SEC's focus on foreign issuers, aligning with the 'America First' policy, and notes that trading suspensions were often based on recommendations made via social media by unknown individuals. The piece also mentions Nasdaq's proposed rule change to delist companies under SEC trading suspensions, emphasizing the need for foreign issuers to assess their vulnerability to market manipulation and develop response plans.</w:t>
      </w:r>
      <w:r/>
    </w:p>
    <w:p>
      <w:pPr>
        <w:pStyle w:val="ListNumber"/>
        <w:spacing w:line="240" w:lineRule="auto"/>
        <w:ind w:left="720"/>
      </w:pPr>
      <w:r/>
      <w:hyperlink r:id="rId11">
        <w:r>
          <w:rPr>
            <w:color w:val="0000EE"/>
            <w:u w:val="single"/>
          </w:rPr>
          <w:t>https://www.nasdaq.com/press-release/sec-announces-enforcement-results-fiscal-year-2025-2026-04-07</w:t>
        </w:r>
      </w:hyperlink>
      <w:r>
        <w:t xml:space="preserve"> - This press release from Nasdaq announces the SEC's enforcement results for fiscal year 2025, highlighting actions against potential market manipulation, including schemes involving foreign-based companies and gatekeepers. It mentions the formation of the Cross-Border Task Force in September 2025 to address fraud targeting U.S. investors and markets, demonstrating the SEC's commitment to pursuing transnational fraud that harms American investors.</w:t>
      </w:r>
      <w:r/>
    </w:p>
    <w:p>
      <w:pPr>
        <w:pStyle w:val="ListNumber"/>
        <w:spacing w:line="240" w:lineRule="auto"/>
        <w:ind w:left="720"/>
      </w:pPr>
      <w:r/>
      <w:hyperlink r:id="rId12">
        <w:r>
          <w:rPr>
            <w:color w:val="0000EE"/>
            <w:u w:val="single"/>
          </w:rPr>
          <w:t>https://ir.nasdaq.com/news-releases/news-release-details/nasdaq-proposes-changes-its-listing-standards</w:t>
        </w:r>
      </w:hyperlink>
      <w:r>
        <w:t xml:space="preserve"> - This news release details Nasdaq's proposed changes to its listing standards, including a new rule granting the exchange limited discretion to deny initial listings to companies if, in Nasdaq's judgment, the company's securities could be susceptible to manipulative trading activity. The rule includes a series of non-exclusive factors that Nasdaq will consider in determining whether to apply this discretion, aiming to enhance market integrity and investor protection.</w:t>
      </w:r>
      <w:r/>
    </w:p>
    <w:p>
      <w:pPr>
        <w:pStyle w:val="ListNumber"/>
        <w:spacing w:line="240" w:lineRule="auto"/>
        <w:ind w:left="720"/>
      </w:pPr>
      <w:r/>
      <w:hyperlink r:id="rId13">
        <w:r>
          <w:rPr>
            <w:color w:val="0000EE"/>
            <w:u w:val="single"/>
          </w:rPr>
          <w:t>https://www.dechert.com/knowledge/onpoint/2026/1/new-nasdaq-listing-rule-gives-nasdaq-discretionary-authority-to-.html</w:t>
        </w:r>
      </w:hyperlink>
      <w:r>
        <w:t xml:space="preserve"> - This article discusses Nasdaq's proposed rule change granting the exchange limited discretion to deny initial listings to companies, even if they meet all stated listing requirements, if Nasdaq determines that the company's securities could be susceptible to manipulative trading activity. The rule includes a series of non-exclusive factors that Nasdaq will consider in determining whether to apply this discretion, aiming to enhance market integrity and investor protection.</w:t>
      </w:r>
      <w:r/>
    </w:p>
    <w:p>
      <w:pPr>
        <w:pStyle w:val="ListNumber"/>
        <w:spacing w:line="240" w:lineRule="auto"/>
        <w:ind w:left="720"/>
      </w:pPr>
      <w:r/>
      <w:hyperlink r:id="rId14">
        <w:r>
          <w:rPr>
            <w:color w:val="0000EE"/>
            <w:u w:val="single"/>
          </w:rPr>
          <w:t>https://www.dechert.com/knowledge/onpoint/2026/1/nasdaq-proposes-us5-million-market-value-continued-listing-requ.html</w:t>
        </w:r>
      </w:hyperlink>
      <w:r>
        <w:t xml:space="preserve"> - This article covers Nasdaq's proposal to adopt a new continued listing requirement where companies must maintain a market value of at least US$5 million. Companies failing to meet this standard for 30 consecutive business days would be subject to immediate suspension and delisting, with no cure period or appeal available except to challenge errors in the initial suspension determination, aiming to ensure that listed companies have sufficient public float and trading interest to promote fair and orderly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what-foreign-issuers-should-know-about-6886968/" TargetMode="External"/><Relationship Id="rId10" Type="http://schemas.openxmlformats.org/officeDocument/2006/relationships/hyperlink" Target="https://investigations.cooley.com/2026/04/28/what-foreign-issuers-should-know-about-sec-trading-suspensions/" TargetMode="External"/><Relationship Id="rId11" Type="http://schemas.openxmlformats.org/officeDocument/2006/relationships/hyperlink" Target="https://www.nasdaq.com/press-release/sec-announces-enforcement-results-fiscal-year-2025-2026-04-07" TargetMode="External"/><Relationship Id="rId12" Type="http://schemas.openxmlformats.org/officeDocument/2006/relationships/hyperlink" Target="https://ir.nasdaq.com/news-releases/news-release-details/nasdaq-proposes-changes-its-listing-standards" TargetMode="External"/><Relationship Id="rId13" Type="http://schemas.openxmlformats.org/officeDocument/2006/relationships/hyperlink" Target="https://www.dechert.com/knowledge/onpoint/2026/1/new-nasdaq-listing-rule-gives-nasdaq-discretionary-authority-to-.html" TargetMode="External"/><Relationship Id="rId14" Type="http://schemas.openxmlformats.org/officeDocument/2006/relationships/hyperlink" Target="https://www.dechert.com/knowledge/onpoint/2026/1/nasdaq-proposes-us5-million-market-value-continued-listing-requ.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