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Alnylam advances 2026 pipeline amid strong financial growth and strategic focus on TTR leadership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Alnylam Pharmaceuticals is heading into what may be a comparatively subdued year by biotech standards, but that does not mean the RNA interference specialist is standing still. The company has been using 2026 to keep its commercial franchise expanding while advancing a broad slate of follow-on programmes that could shape its next phase of growth.</w:t>
      </w:r>
      <w:r/>
    </w:p>
    <w:p>
      <w:r/>
      <w:r>
        <w:t>The immediate focus remains on transthyretin amyloidosis, where Alnylam is pushing to extend its leadership in a market that has become central to its investment case. The company’s recently unveiled Alnylam 2030 plan places global TTR leadership at the centre of its long-term ambitions, alongside the rollout of next-generation silencer nucresiran, which it expects to move into polyneuropathy by 2028 and cardiomyopathy by 2030. Alnylam has also described the strategy as a way to balance scale, innovation and profitability over the rest of the decade.</w:t>
      </w:r>
      <w:r/>
    </w:p>
    <w:p>
      <w:r/>
      <w:r>
        <w:t>Financially, the business entered 2026 with strong momentum. In its fourth-quarter and full-year 2025 results, Alnylam said global net product sales reached $995 million in the final quarter and $2.987 billion for the full year, marking sharp growth from 2024. The company later said quarterly product revenue topped $1 billion for the first time in the first quarter of 2026, underscoring how its commercial base is continuing to broaden even before several of its newer programmes reach late-stage data readouts.</w:t>
      </w:r>
      <w:r/>
    </w:p>
    <w:p>
      <w:r/>
      <w:r>
        <w:t>The pipeline remains the key reason investors continue to watch the company closely. According to Alnylam’s own pipeline overview, its work spans bleeding disorders, polycythaemia vera, paroxysmal nocturnal haemoglobinuria and other rare diseases, with both partnered and wholly owned candidates in development. In its first-quarter 2026 update, the company said it expected to finish enrolment in the cAPPricorn-1 Phase 2 study of mivelsiran in cerebral amyloid angiopathy, begin a Phase 2 trial of the drug in Alzheimer’s disease, and start a Phase 2 study of ALN-6400 in a second bleeding disorder. Biospace also reported that Alnylam advanced three Phase 3 trials and opened a Phase 1 obesity and weight-management study, while recent data presented at the American College of Cardiology supported vutrisiran in ATTR-CM and reinforced the safety profile of zilebesiran in hypertension.</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3">
        <w:r>
          <w:rPr>
            <w:color w:val="0000EE"/>
            <w:u w:val="single"/>
          </w:rPr>
          <w:t>[5]</w:t>
        </w:r>
      </w:hyperlink>
      <w:r>
        <w:t xml:space="preserve">- Paragraph 3: </w:t>
      </w:r>
      <w:hyperlink r:id="rId13">
        <w:r>
          <w:rPr>
            <w:color w:val="0000EE"/>
            <w:u w:val="single"/>
          </w:rPr>
          <w:t>[5]</w:t>
        </w:r>
      </w:hyperlink>
      <w:r>
        <w:t xml:space="preserve">, </w:t>
      </w:r>
      <w:hyperlink r:id="rId14">
        <w:r>
          <w:rPr>
            <w:color w:val="0000EE"/>
            <w:u w:val="single"/>
          </w:rPr>
          <w:t>[6]</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https://seekingalpha.com/article/4897491-alnylam-pharmaceuticals-the-rnai-leader-continues-to-grind-through-a-quieter-year?source=generic_rss</w:t>
        </w:r>
      </w:hyperlink>
      <w:r>
        <w:t xml:space="preserve"> - Please view link - unable to able to access data</w:t>
      </w:r>
      <w:r/>
    </w:p>
    <w:p>
      <w:pPr>
        <w:pStyle w:val="ListNumber"/>
        <w:spacing w:line="240" w:lineRule="auto"/>
        <w:ind w:left="720"/>
      </w:pPr>
      <w:r/>
      <w:hyperlink r:id="rId10">
        <w:r>
          <w:rPr>
            <w:color w:val="0000EE"/>
            <w:u w:val="single"/>
          </w:rPr>
          <w:t>https://www.alnylam.com/alnylam-rnai-pipeline</w:t>
        </w:r>
      </w:hyperlink>
      <w:r>
        <w:t xml:space="preserve"> - Alnylam Pharmaceuticals provides an overview of its RNAi pipeline, detailing various programs in different stages of development. The pipeline includes treatments for conditions such as bleeding disorders, polycythemia vera, paroxysmal nocturnal hemoglobinuria, and more. The company highlights both partnered and unpartnered programs, emphasizing its commitment to advancing RNAi therapeutics across a range of diseases. The pipeline is regularly updated to reflect the latest progress and developments in their research and clinical trials.</w:t>
      </w:r>
      <w:r/>
    </w:p>
    <w:p>
      <w:pPr>
        <w:pStyle w:val="ListNumber"/>
        <w:spacing w:line="240" w:lineRule="auto"/>
        <w:ind w:left="720"/>
      </w:pPr>
      <w:r/>
      <w:hyperlink r:id="rId11">
        <w:r>
          <w:rPr>
            <w:color w:val="0000EE"/>
            <w:u w:val="single"/>
          </w:rPr>
          <w:t>https://investors.alnylam.com/press-release?id=29796</w:t>
        </w:r>
      </w:hyperlink>
      <w:r>
        <w:t xml:space="preserve"> - Alnylam Pharmaceuticals reports its first-quarter 2026 financial results, highlighting significant progress in its pipeline. The company plans to complete enrollment in the cAPPricorn-1 Phase 2 clinical trial of mivelsiran for cerebral amyloid angiopathy and initiate a Phase 2 trial of mivelsiran in Alzheimer's disease. Additionally, Alnylam intends to start a Phase 2 clinical trial of ALN-6400 for a second bleeding disorder. These initiatives underscore Alnylam's ongoing commitment to advancing RNAi therapeutics for various conditions.</w:t>
      </w:r>
      <w:r/>
    </w:p>
    <w:p>
      <w:pPr>
        <w:pStyle w:val="ListNumber"/>
        <w:spacing w:line="240" w:lineRule="auto"/>
        <w:ind w:left="720"/>
      </w:pPr>
      <w:r/>
      <w:hyperlink r:id="rId12">
        <w:r>
          <w:rPr>
            <w:color w:val="0000EE"/>
            <w:u w:val="single"/>
          </w:rPr>
          <w:t>https://www.nasdaq.com/press-release/alnylam-launches-alnylam-2030-strategy-drive-next-era-growth-and-patient-impact-2026</w:t>
        </w:r>
      </w:hyperlink>
      <w:r>
        <w:t xml:space="preserve"> - Alnylam Pharmaceuticals announces its 'Alnylam 2030' strategy, focusing on scaling operations through leadership in ATTR amyloidosis, driving long-term growth via sustainable innovation, and delivering exceptional financial results. The strategy includes achieving global TTR leadership, launching next-generation silencer nucresiran in polyneuropathy by 2028 and cardiomyopathy by 2030, and advancing multiple multi-billion-dollar opportunities in its pipeline. This strategic plan reflects Alnylam's commitment to expanding its impact in the RNAi therapeutics field.</w:t>
      </w:r>
      <w:r/>
    </w:p>
    <w:p>
      <w:pPr>
        <w:pStyle w:val="ListNumber"/>
        <w:spacing w:line="240" w:lineRule="auto"/>
        <w:ind w:left="720"/>
      </w:pPr>
      <w:r/>
      <w:hyperlink r:id="rId13">
        <w:r>
          <w:rPr>
            <w:color w:val="0000EE"/>
            <w:u w:val="single"/>
          </w:rPr>
          <w:t>https://www.nasdaq.com/press-release/alnylam-pharmaceuticals-reports-fourth-quarter-and-full-year-2025-financial-results</w:t>
        </w:r>
      </w:hyperlink>
      <w:r>
        <w:t xml:space="preserve"> - Alnylam Pharmaceuticals reports its fourth-quarter and full-year 2025 financial results, achieving global net product revenues of $995 million in Q4 and $2,987 million for the year, representing 121% and 81% growth compared to 2024, respectively. The company also launched the 'Alnylam 2030' strategy, focusing on scaling operations through leadership in ATTR amyloidosis, driving long-term growth via sustainable innovation, and delivering exceptional financial results. The strategy includes advancing multiple pipeline programs and achieving global TTR leadership by 2030.</w:t>
      </w:r>
      <w:r/>
    </w:p>
    <w:p>
      <w:pPr>
        <w:pStyle w:val="ListNumber"/>
        <w:spacing w:line="240" w:lineRule="auto"/>
        <w:ind w:left="720"/>
      </w:pPr>
      <w:r/>
      <w:hyperlink r:id="rId14">
        <w:r>
          <w:rPr>
            <w:color w:val="0000EE"/>
            <w:u w:val="single"/>
          </w:rPr>
          <w:t>https://www.biospace.com/press-releases/alnylam-pharmaceuticals-reports-first-quarter-2026-financial-results-and-highlights-recent-period-progress</w:t>
        </w:r>
      </w:hyperlink>
      <w:r>
        <w:t xml:space="preserve"> - Alnylam Pharmaceuticals reports its first-quarter 2026 financial results, achieving over $1 billion in quarterly product revenues for the first time. The company continues to advance its RNAi therapeutics pipeline, progressing three ongoing Phase 3 trials and initiating a Phase 1 study for an adipose-targeted program for obesity and weight management. These developments highlight Alnylam's commitment to expanding its impact in the RNAi therapeutics field and addressing unmet medical needs.</w:t>
      </w:r>
      <w:r/>
    </w:p>
    <w:p>
      <w:pPr>
        <w:pStyle w:val="ListNumber"/>
        <w:spacing w:line="240" w:lineRule="auto"/>
        <w:ind w:left="720"/>
      </w:pPr>
      <w:r/>
      <w:hyperlink r:id="rId15">
        <w:r>
          <w:rPr>
            <w:color w:val="0000EE"/>
            <w:u w:val="single"/>
          </w:rPr>
          <w:t>https://investors.alnylam.com/press-release?id=29746</w:t>
        </w:r>
      </w:hyperlink>
      <w:r>
        <w:t xml:space="preserve"> - Alnylam Pharmaceuticals presents new data at the American College of Cardiology’s Annual Scientific Session and Expo (ACC.26), supporting the benefits of vutrisiran in treating ATTR-CM and the potential of zilebesiran for hypertension management. Vutrisiran, a transthyretin silencer, has shown improvements in health-related quality of life for ATTR-CM patients, with effects comparable to those in younger individuals. Pooled Phase 2 safety data for zilebesiran reinforce its encouraging safety profile across a broad patient population with hypertension.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ekingalpha.com/article/4897491-alnylam-pharmaceuticals-the-rnai-leader-continues-to-grind-through-a-quieter-year?source=generic_rss" TargetMode="External"/><Relationship Id="rId10" Type="http://schemas.openxmlformats.org/officeDocument/2006/relationships/hyperlink" Target="https://www.alnylam.com/alnylam-rnai-pipeline" TargetMode="External"/><Relationship Id="rId11" Type="http://schemas.openxmlformats.org/officeDocument/2006/relationships/hyperlink" Target="https://investors.alnylam.com/press-release?id=29796" TargetMode="External"/><Relationship Id="rId12" Type="http://schemas.openxmlformats.org/officeDocument/2006/relationships/hyperlink" Target="https://www.nasdaq.com/press-release/alnylam-launches-alnylam-2030-strategy-drive-next-era-growth-and-patient-impact-2026" TargetMode="External"/><Relationship Id="rId13" Type="http://schemas.openxmlformats.org/officeDocument/2006/relationships/hyperlink" Target="https://www.nasdaq.com/press-release/alnylam-pharmaceuticals-reports-fourth-quarter-and-full-year-2025-financial-results" TargetMode="External"/><Relationship Id="rId14" Type="http://schemas.openxmlformats.org/officeDocument/2006/relationships/hyperlink" Target="https://www.biospace.com/press-releases/alnylam-pharmaceuticals-reports-first-quarter-2026-financial-results-and-highlights-recent-period-progress" TargetMode="External"/><Relationship Id="rId15" Type="http://schemas.openxmlformats.org/officeDocument/2006/relationships/hyperlink" Target="https://investors.alnylam.com/press-release?id=2974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