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Cayman securitisation structures gain traction as private credit lenders seek capital efficiency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balance sheet pressure grows and competition in private credit intensifies, fund finance lenders are increasingly looking to securitisation as a way to improve capital efficiency. According to the JD Supra article, capital call facility securitisation has moved from being a specialist experiment to a more established funding technique, allowing lenders to shift risk off balance sheet, release regulatory capital and tap a broader investor base. The same article notes that the approach is already being applied not only to subscription lines, but also to net asset value facilities, rated note platforms and other SPV-based structures.</w:t>
      </w:r>
      <w:r/>
    </w:p>
    <w:p>
      <w:r/>
      <w:r>
        <w:t>Cayman Islands vehicles sit at the centre of much of this activity. The article explains that securitisation SPVs are commonly set up in the jurisdiction because its offshore structure supports pass-through economics and helps avoid unnecessary tax leakage. It also notes that notes issued by a Cayman SPV and listed on the Cayman Islands Stock Exchange may qualify for the UK Eurobond exemption, while non-petition clauses are generally recognised under Cayman law, reinforcing the bankruptcy-remote design that investors expect.</w:t>
      </w:r>
      <w:r/>
    </w:p>
    <w:p>
      <w:r/>
      <w:r>
        <w:t>Yet the attraction of securitising capital call facilities lies not only in the structure, but in the quality of the underlying collateral. Ogier has previously stressed the importance of reviewing LPAs and side letters carefully, because the enforceability of capital call rights depends on the precise drafting of fund documentation. The JD Supra piece makes a similar point, highlighting that concentration risk can be significant where funds share sponsors or investors, and that pooling short-dated subscription lines into longer-dated securitisation notes requires careful attention to diversification, eligibility criteria and concentration limits.</w:t>
      </w:r>
      <w:r/>
    </w:p>
    <w:p>
      <w:r/>
      <w:r>
        <w:t>That due diligence is especially important because the security package depends on the fund’s contractual right to demand capital and the investors’ obligation to pay it. The article says lenders typically look for first-priority security over LP commitments and related bank accounts, no material set-off or defence rights in the fund documents, and no jurisdictional obstacles to calling capital from investors. It also notes that while facility documentation may be governed by New York law in Cayman-based structures, questions of priority over the underlying capital call rights will still turn on Cayman law.</w:t>
      </w:r>
      <w:r/>
    </w:p>
    <w:p>
      <w:r/>
      <w:r>
        <w:t>The broader legal literature on Cayman securitisation and subscription lines points to the same market logic: SPVs, well-defined eligibility tests and local-law diligence are doing more of the heavy lifting as private credit structures become more capital-markets oriented. The article suggests that standardisation is likely to increase as the market develops, alongside more refined rating approaches and, potentially, secondary trading. For now, however, the most important work still happens at the fund level, where Cayman practitioners remain central to making the assets financeable in the first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https://www.jdsupra.com/legalnews/cure-mechanics-meet-cayman-capital-call-7192754/</w:t>
        </w:r>
      </w:hyperlink>
      <w:r>
        <w:t xml:space="preserve"> - Please view link - unable to able to access data</w:t>
      </w:r>
      <w:r/>
    </w:p>
    <w:p>
      <w:pPr>
        <w:pStyle w:val="ListNumber"/>
        <w:spacing w:line="240" w:lineRule="auto"/>
        <w:ind w:left="720"/>
      </w:pPr>
      <w:r/>
      <w:hyperlink r:id="rId10">
        <w:r>
          <w:rPr>
            <w:color w:val="0000EE"/>
            <w:u w:val="single"/>
          </w:rPr>
          <w:t>https://www.ogier.com/news-and-insights/insights/capital-call-facilities-lpa-and-side-letter-review/</w:t>
        </w:r>
      </w:hyperlink>
      <w:r>
        <w:t xml:space="preserve"> - This article discusses capital call facilities, also known as subscription line facilities, which are revolving credit lines secured against uncalled capital commitments of fund investors. It highlights the importance of reviewing Limited Partnership Agreements (LPAs) and side letters to ensure enforceability of these facilities. The piece also examines the role of Cayman Islands exempted limited partnerships in structuring private equity funds and the security interests over the rights to make capital calls and receive proceeds from capital contributions.</w:t>
      </w:r>
      <w:r/>
    </w:p>
    <w:p>
      <w:pPr>
        <w:pStyle w:val="ListNumber"/>
        <w:spacing w:line="240" w:lineRule="auto"/>
        <w:ind w:left="720"/>
      </w:pPr>
      <w:r/>
      <w:hyperlink r:id="rId11">
        <w:r>
          <w:rPr>
            <w:color w:val="0000EE"/>
            <w:u w:val="single"/>
          </w:rPr>
          <w:t>https://www.mondaq.com/caymanislands/finance-and-banking/1344350/securitisation-comparative-guide</w:t>
        </w:r>
      </w:hyperlink>
      <w:r>
        <w:t xml:space="preserve"> - This guide provides an overview of securitisation in the Cayman Islands, detailing the legal framework, regulatory environment, and key considerations for both originators and investors. It discusses the process of pooling assets to create tradable debt securities and the role of special purpose vehicles (SPVs) in these transactions. The article also outlines the risks associated with securitisation, including cash-flow risk, market risk, reputation risk, and credit risk, and offers insights into mitigating these risks.</w:t>
      </w:r>
      <w:r/>
    </w:p>
    <w:p>
      <w:pPr>
        <w:pStyle w:val="ListNumber"/>
        <w:spacing w:line="240" w:lineRule="auto"/>
        <w:ind w:left="720"/>
      </w:pPr>
      <w:r/>
      <w:hyperlink r:id="rId12">
        <w:r>
          <w:rPr>
            <w:color w:val="0000EE"/>
            <w:u w:val="single"/>
          </w:rPr>
          <w:t>https://www.loebsmith.com/insight/cayman-bvi-subscription-credit-facilities-key-guide-for-pe/</w:t>
        </w:r>
      </w:hyperlink>
      <w:r>
        <w:t xml:space="preserve"> - This article explores subscription credit facilities, also known as sub-lines or capital call facilities, in the context of private equity funds operating within the Cayman Islands and British Virgin Islands. It outlines the key features, legal considerations, and strategic advantages of these structures, emphasizing their role in providing flexible financing options for fund managers. The piece also discusses the benefits of using offshore special purpose vehicles (SPVs) in facilitating these facilities.</w:t>
      </w:r>
      <w:r/>
    </w:p>
    <w:p>
      <w:pPr>
        <w:pStyle w:val="ListNumber"/>
        <w:spacing w:line="240" w:lineRule="auto"/>
        <w:ind w:left="720"/>
      </w:pPr>
      <w:r/>
      <w:hyperlink r:id="rId15">
        <w:r>
          <w:rPr>
            <w:color w:val="0000EE"/>
            <w:u w:val="single"/>
          </w:rPr>
          <w:t>https://caymanfinance.ky/2025/11/03/structured-lending-for-hyperscale-data-centre-providers-offshore-spvs-powering-securitisation-driven-capital-solutions/</w:t>
        </w:r>
      </w:hyperlink>
      <w:r>
        <w:t xml:space="preserve"> - This article examines the role of offshore special purpose vehicles (SPVs) in structured lending for hyperscale data centre providers. It discusses how securitisation, particularly in Asia, is emerging as a strategic tool to monetise long-term lease receivables, with offshore SPVs enabling cross-border capital flows. The piece highlights the benefits of using Cayman Islands structures in these transactions, including tax efficiency and legal flexibility.</w:t>
      </w:r>
      <w:r/>
    </w:p>
    <w:p>
      <w:pPr>
        <w:pStyle w:val="ListNumber"/>
        <w:spacing w:line="240" w:lineRule="auto"/>
        <w:ind w:left="720"/>
      </w:pPr>
      <w:r/>
      <w:hyperlink r:id="rId14">
        <w:r>
          <w:rPr>
            <w:color w:val="0000EE"/>
            <w:u w:val="single"/>
          </w:rPr>
          <w:t>https://www.lexgo.lu/en/news-and-articles/5532-capital-call-facilities-lpa-and-side-letter-review</w:t>
        </w:r>
      </w:hyperlink>
      <w:r>
        <w:t xml:space="preserve"> - This article provides an in-depth review of capital call facilities, also known as subscription line facilities, focusing on the importance of Limited Partnership Agreements (LPAs) and side letters in their enforceability. It discusses how these facilities are secured against uncalled capital commitments of fund investors and the role of Cayman Islands exempted limited partnerships in structuring private equity funds. The piece also examines the security interests over the rights to make capital calls and receive proceeds from capital contributions.</w:t>
      </w:r>
      <w:r/>
    </w:p>
    <w:p>
      <w:pPr>
        <w:pStyle w:val="ListNumber"/>
        <w:spacing w:line="240" w:lineRule="auto"/>
        <w:ind w:left="720"/>
      </w:pPr>
      <w:r/>
      <w:hyperlink r:id="rId13">
        <w:r>
          <w:rPr>
            <w:color w:val="0000EE"/>
            <w:u w:val="single"/>
          </w:rPr>
          <w:t>https://www.mourant.com/guides/sub-lines-through-a-funds-life-cycle-a-cayman-islands-perspective/</w:t>
        </w:r>
      </w:hyperlink>
      <w:r>
        <w:t xml:space="preserve"> - This guide offers a Cayman Islands perspective on subscription lines, also known as sub-lines or capital call facilities, throughout a fund's life cycle. It discusses the typical structure and duration of these facilities, their role in providing liquidity for investments and expenses, and the importance of understanding their use at different stages of a fund's term. The piece also highlights the significance of Cayman Islands exempted limited partnerships in structuring private equity funds and the security interests over the rights to make capital calls and receive proceeds from capital contributions.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cure-mechanics-meet-cayman-capital-call-7192754/" TargetMode="External"/><Relationship Id="rId10" Type="http://schemas.openxmlformats.org/officeDocument/2006/relationships/hyperlink" Target="https://www.ogier.com/news-and-insights/insights/capital-call-facilities-lpa-and-side-letter-review/" TargetMode="External"/><Relationship Id="rId11" Type="http://schemas.openxmlformats.org/officeDocument/2006/relationships/hyperlink" Target="https://www.mondaq.com/caymanislands/finance-and-banking/1344350/securitisation-comparative-guide" TargetMode="External"/><Relationship Id="rId12" Type="http://schemas.openxmlformats.org/officeDocument/2006/relationships/hyperlink" Target="https://www.loebsmith.com/insight/cayman-bvi-subscription-credit-facilities-key-guide-for-pe/" TargetMode="External"/><Relationship Id="rId13" Type="http://schemas.openxmlformats.org/officeDocument/2006/relationships/hyperlink" Target="https://www.mourant.com/guides/sub-lines-through-a-funds-life-cycle-a-cayman-islands-perspective/" TargetMode="External"/><Relationship Id="rId14" Type="http://schemas.openxmlformats.org/officeDocument/2006/relationships/hyperlink" Target="https://www.lexgo.lu/en/news-and-articles/5532-capital-call-facilities-lpa-and-side-letter-review" TargetMode="External"/><Relationship Id="rId15" Type="http://schemas.openxmlformats.org/officeDocument/2006/relationships/hyperlink" Target="https://caymanfinance.ky/2025/11/03/structured-lending-for-hyperscale-data-centre-providers-offshore-spvs-powering-securitisation-driven-capital-solu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