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 sector diversifies as miners pivot to AI, stablecoins fuel liquidity questions, and tokenised Treasurys redefine trading collateral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Crypto markets are no longer moving to a single rhythm. Instead, capital is scattering across competing themes: miners are turning towards artificial intelligence, corporate treasuries are loading up on Ether, stablecoin balances are rising even as turnover cools, and tokenised Treasury funds are beginning to function as collateral on major trading venues.</w:t>
      </w:r>
      <w:r/>
    </w:p>
    <w:p>
      <w:r/>
      <w:r>
        <w:t>One of the clearest examples is IREN, which Bernstein says is increasingly better understood as an AI infrastructure play than as a conventional Bitcoin miner. The brokerage argued that the company’s power access and data-centre footprint could support high-performance computing demand, with its AI cloud business potentially scaling into a $3.7 billion opportunity. Separate reporting also suggests IREN has slowed Bitcoin expansion to concentrate on AI data centres and cloud services, underscoring how miners are trying to escape the boom-and-bust logic of the Bitcoin cycle.</w:t>
      </w:r>
      <w:r/>
    </w:p>
    <w:p>
      <w:r/>
      <w:r>
        <w:t>At the other end of the spectrum, BitMine is taking a far more aggressive bet on Ether. CoinMarketCap Academy reported that the company bought 101,627 ETH between April 13 and April 19, its largest weekly purchase since December, taking holdings to nearly 4.98 million tokens. That buying spree has left the firm exposed to heavy unrealised losses because Ether has traded below its average purchase price, but BitMine still appears committed to a strategy aimed at controlling 5% of circulating supply.</w:t>
      </w:r>
      <w:r/>
    </w:p>
    <w:p>
      <w:r/>
      <w:r>
        <w:t>The wider market picture is equally mixed. RWA.xyz data shows stablecoin supply has climbed above $305 billion, yet transfer volume has dropped by almost a fifth over the past month, suggesting liquidity is sitting on the sidelines rather than rotating quickly through the system. Tether’s USDT led recent inflows, while USDC also attracted funds, even as some rivals saw outflows. The result is a market with more cash parked in stablecoins, but less conviction about where to deploy it.</w:t>
      </w:r>
      <w:r/>
    </w:p>
    <w:p>
      <w:r/>
      <w:r>
        <w:t>Institutional finance is also reshaping crypto plumbing. OKX has begun accepting BlackRock’s tokenised US Treasury fund, BUIDL, as trading collateral through a framework developed with Standard Chartered, allowing clients to use a yield-bearing asset rather than idle cash. The structure keeps the fund in regulated custody while still supporting exchange margin, which could make tokenised Treasurys a more attractive bridge between traditional markets and digital-asset trading. Taken together, the shifts point to a sector that is still searching for a dominant narrative, even as it builds several at once.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https://cointelegraph.com/news/crypto-biz-capital-has-no-consensus?utm_source=rss_feed&amp;utm_medium=feed&amp;utm_campaign=rss_partner_inbound</w:t>
        </w:r>
      </w:hyperlink>
      <w:r>
        <w:t xml:space="preserve"> - Please view link - unable to able to access data</w:t>
      </w:r>
      <w:r/>
    </w:p>
    <w:p>
      <w:pPr>
        <w:pStyle w:val="ListNumber"/>
        <w:spacing w:line="240" w:lineRule="auto"/>
        <w:ind w:left="720"/>
      </w:pPr>
      <w:r/>
      <w:hyperlink r:id="rId10">
        <w:r>
          <w:rPr>
            <w:color w:val="0000EE"/>
            <w:u w:val="single"/>
          </w:rPr>
          <w:t>https://cointelegraph.com/news/bernstein-sees-iren-pivoting-from-bitcoin-mining-to-37b-ai-cloud-business/</w:t>
        </w:r>
      </w:hyperlink>
      <w:r>
        <w:t xml:space="preserve"> - Analysts at Bernstein have highlighted IREN's strategic shift from Bitcoin mining to AI cloud infrastructure. They emphasize IREN's substantial energy resources, positioning the company to support high-performance computing for artificial intelligence. This transition could potentially lead to a $3.7 billion valuation for IREN's AI cloud segment. The move reflects a broader industry trend where miners are diversifying into more stable and diversified revenue streams amid challenging economic conditions in the mining sector.</w:t>
      </w:r>
      <w:r/>
    </w:p>
    <w:p>
      <w:pPr>
        <w:pStyle w:val="ListNumber"/>
        <w:spacing w:line="240" w:lineRule="auto"/>
        <w:ind w:left="720"/>
      </w:pPr>
      <w:r/>
      <w:hyperlink r:id="rId11">
        <w:r>
          <w:rPr>
            <w:color w:val="0000EE"/>
            <w:u w:val="single"/>
          </w:rPr>
          <w:t>https://coinmarketcap.com/academy/article/bitmine-adds-101k-ethereum-in-biggest-buy-since-december</w:t>
        </w:r>
      </w:hyperlink>
      <w:r>
        <w:t xml:space="preserve"> - Bitmine Immersion Technologies has acquired 101,627 Ethereum between April 13 and April 19, marking its largest single-week purchase since December 2025. This acquisition brings Bitmine's total Ethereum holdings to approximately 4.98 million tokens, valued at around $11.5 billion. The company aims to accumulate 5% of all circulating Ethereum, positioning itself as the largest corporate holder of Ether. Despite the significant unrealized losses due to the current market price being below their average acquisition cost, Bitmine remains committed to its accumulation strategy.</w:t>
      </w:r>
      <w:r/>
    </w:p>
    <w:p>
      <w:pPr>
        <w:pStyle w:val="ListNumber"/>
        <w:spacing w:line="240" w:lineRule="auto"/>
        <w:ind w:left="720"/>
      </w:pPr>
      <w:r/>
      <w:hyperlink r:id="rId12">
        <w:r>
          <w:rPr>
            <w:color w:val="0000EE"/>
            <w:u w:val="single"/>
          </w:rPr>
          <w:t>https://www.tokenpost.com/news/business/19389</w:t>
        </w:r>
      </w:hyperlink>
      <w:r>
        <w:t xml:space="preserve"> - IREN is transitioning from Bitcoin mining to AI cloud infrastructure, aiming to scale GPU capacity and achieve $3.7 billion in AI revenue by 2026. The company is repurposing mining sites in Texas and British Columbia by replacing ASIC rigs with GPUs, redirecting power capacity toward higher-margin AI workloads. This strategic shift reflects a broader trend among miners seeking more stable and diversified revenue streams as economic conditions in the mining sector deteriorate.</w:t>
      </w:r>
      <w:r/>
    </w:p>
    <w:p>
      <w:pPr>
        <w:pStyle w:val="ListNumber"/>
        <w:spacing w:line="240" w:lineRule="auto"/>
        <w:ind w:left="720"/>
      </w:pPr>
      <w:r/>
      <w:hyperlink r:id="rId13">
        <w:r>
          <w:rPr>
            <w:color w:val="0000EE"/>
            <w:u w:val="single"/>
          </w:rPr>
          <w:t>https://www.datacenterdynamics.com/en/news/iren-pausing-bitcoin-expansion-to-focus-on-ai-data-center-build-out/</w:t>
        </w:r>
      </w:hyperlink>
      <w:r>
        <w:t xml:space="preserve"> - IREN has announced a pause in expanding its Bitcoin mining operations to focus on building AI data centers and AI cloud services. The company plans to redirect cash flows from its Bitcoin mining activities toward the growth of its AI cloud services and AI data center businesses. This strategic shift underscores IREN's commitment to leveraging its existing infrastructure to support the growing demand for AI and high-performance computing services.</w:t>
      </w:r>
      <w:r/>
    </w:p>
    <w:p>
      <w:pPr>
        <w:pStyle w:val="ListNumber"/>
        <w:spacing w:line="240" w:lineRule="auto"/>
        <w:ind w:left="720"/>
      </w:pPr>
      <w:r/>
      <w:hyperlink r:id="rId15">
        <w:r>
          <w:rPr>
            <w:color w:val="0000EE"/>
            <w:u w:val="single"/>
          </w:rPr>
          <w:t>https://www.tomshardware.com/tech-industry/cryptomining/major-bitcoin-mining-firm-pivoting-to-ai-plans-to-fully-abandon-crypto-mining-by-2027-bitfarm-to-leverage-341-megawatt-capacity-for-ai-following-usd46-million-q3-loss</w:t>
        </w:r>
      </w:hyperlink>
      <w:r>
        <w:t xml:space="preserve"> - Bitfarm, a major Bitcoin mining firm, has announced a strategic pivot to fully transition from cryptocurrency mining to AI data center operations by 2027. This decision follows a significant $46 million net loss in Q3 2025. Bitfarm plans to repurpose its existing infrastructure, including a 341 MW energy capacity, to support AI workloads, aiming to capitalize on the growing demand for AI services while mitigating the challenges faced in the cryptocurrency mining sector.</w:t>
      </w:r>
      <w:r/>
    </w:p>
    <w:p>
      <w:pPr>
        <w:pStyle w:val="ListNumber"/>
        <w:spacing w:line="240" w:lineRule="auto"/>
        <w:ind w:left="720"/>
      </w:pPr>
      <w:r/>
      <w:hyperlink r:id="rId16">
        <w:r>
          <w:rPr>
            <w:color w:val="0000EE"/>
            <w:u w:val="single"/>
          </w:rPr>
          <w:t>https://www.tomshardware.com/tech-industry/cryptomining/iran-conflict-forces-bitcoin-mining-operators-to-pivot-to-ai-infrastructure-btc-network-sees-the-first-quarterly-hashrate-drop-since-2020</w:t>
        </w:r>
      </w:hyperlink>
      <w:r>
        <w:t xml:space="preserve"> - The Bitcoin network experienced its first quarterly drop in hashrate since 2020, decreasing by 4% in Q1 2026. This decline is attributed to geopolitical instability, particularly the Iran-U.S. conflict, which led to a surge in energy prices. In response, many Bitcoin mining operators are repurposing their facilities to support AI infrastructure, leveraging existing data centers to meet the growing demand for AI services while addressing the challenges posed by the volatile cryptocurrency mining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telegraph.com/news/crypto-biz-capital-has-no-consensus?utm_source=rss_feed&amp;utm_medium=feed&amp;utm_campaign=rss_partner_inbound" TargetMode="External"/><Relationship Id="rId10" Type="http://schemas.openxmlformats.org/officeDocument/2006/relationships/hyperlink" Target="https://cointelegraph.com/news/bernstein-sees-iren-pivoting-from-bitcoin-mining-to-37b-ai-cloud-business/" TargetMode="External"/><Relationship Id="rId11" Type="http://schemas.openxmlformats.org/officeDocument/2006/relationships/hyperlink" Target="https://coinmarketcap.com/academy/article/bitmine-adds-101k-ethereum-in-biggest-buy-since-december" TargetMode="External"/><Relationship Id="rId12" Type="http://schemas.openxmlformats.org/officeDocument/2006/relationships/hyperlink" Target="https://www.tokenpost.com/news/business/19389" TargetMode="External"/><Relationship Id="rId13" Type="http://schemas.openxmlformats.org/officeDocument/2006/relationships/hyperlink" Target="https://www.datacenterdynamics.com/en/news/iren-pausing-bitcoin-expansion-to-focus-on-ai-data-center-build-out/" TargetMode="External"/><Relationship Id="rId14" Type="http://schemas.openxmlformats.org/officeDocument/2006/relationships/hyperlink" Target="https://www.noahwire.com" TargetMode="External"/><Relationship Id="rId15" Type="http://schemas.openxmlformats.org/officeDocument/2006/relationships/hyperlink" Target="https://www.tomshardware.com/tech-industry/cryptomining/major-bitcoin-mining-firm-pivoting-to-ai-plans-to-fully-abandon-crypto-mining-by-2027-bitfarm-to-leverage-341-megawatt-capacity-for-ai-following-usd46-million-q3-loss" TargetMode="External"/><Relationship Id="rId16" Type="http://schemas.openxmlformats.org/officeDocument/2006/relationships/hyperlink" Target="https://www.tomshardware.com/tech-industry/cryptomining/iran-conflict-forces-bitcoin-mining-operators-to-pivot-to-ai-infrastructure-btc-network-sees-the-first-quarterly-hashrate-drop-since-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