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MiCA compliance demands real substance over structure for crypto firms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Under MiCA, a crypto-asset firm cannot satisfy the regulator with a tidy organisation chart and a few well-chosen titles. What matters is whether the business has a genuine compliance architecture: a management body with the right mix of knowledge, internal controls that can operate independently, and enough operational substance to show the firm is real, not merely assembled for the application.</w:t>
      </w:r>
      <w:r/>
    </w:p>
    <w:p>
      <w:r/>
      <w:r>
        <w:t xml:space="preserve">That is where many aspiring crypto-asset service providers run into trouble. ESMA’s guidelines on knowledge and competence under MiCA set out a broad spread of expertise that management bodies are expected to cover, ranging from financial markets regulation and AML/CFT to virtual assets, data protection, governance, risk management, digital operational resilience, strategic oversight, third-party management and communication skills. In practice, that means the regulator is looking at the board collectively, not at one compliance hire in isolation. </w:t>
      </w:r>
      <w:r/>
    </w:p>
    <w:p>
      <w:r/>
      <w:r>
        <w:t xml:space="preserve">MiCA’s authorisation process is also more demanding than many founders expect. Article 62 requires applicants to submit a detailed package covering governance, prudential safeguards, internal controls, ICT documentation, client-asset segregation, complaints handling and the operating rules for trading, custody and execution services. Article 63 then gives competent authorities a short window to review whether the file is complete, which means weak governance or missing control frameworks are likely to slow the process before substantive supervision even begins. </w:t>
      </w:r>
      <w:r/>
    </w:p>
    <w:p>
      <w:r/>
      <w:r>
        <w:t xml:space="preserve">The real test is whether the firm can show that compliance has independent authority. ESMA’s guidance points to specific knowledge areas, but Article 62 shows how that knowledge must translate into documented governance arrangements and internal control mechanisms. A compliance function that sits too close to revenue, or a risk function that cannot challenge the business it monitors, is unlikely to persuade a national regulator that it has the independence MiCA assumes. </w:t>
      </w:r>
      <w:r/>
    </w:p>
    <w:p>
      <w:r/>
      <w:r>
        <w:t xml:space="preserve">Client-asset protection and trading-platform controls reinforce the same theme. Article 70 requires crypto-asset service providers to safeguard clients’ assets and keep them separate from the firm’s own funds, while Article 76 requires trading platforms to operate clear admission, suspension and settlement rules. Those obligations are not merely legal formalities; they need people who understand both the regulatory standard and the operational detail behind it. </w:t>
      </w:r>
      <w:r/>
    </w:p>
    <w:p>
      <w:r/>
      <w:r>
        <w:t xml:space="preserve">The broader message from MiCA is that substance now matters as much as structure. ESMA also draws a line between routine staffing and genuine management capacity, and Article 85 shows how the framework escalates for larger providers once they cross the threshold for significance in the EU. For smaller firms hoping to grow into licensed status, the lesson is immediate: build the control environment first, then submit the application. A licence is granted to an institution that already behaves like one.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https://cryptonews.net/news/legal/32799336/</w:t>
        </w:r>
      </w:hyperlink>
      <w:r>
        <w:t xml:space="preserve"> - Please view link - unable to able to access data</w:t>
      </w:r>
      <w:r/>
    </w:p>
    <w:p>
      <w:pPr>
        <w:pStyle w:val="ListNumber"/>
        <w:spacing w:line="240" w:lineRule="auto"/>
        <w:ind w:left="720"/>
      </w:pPr>
      <w:r/>
      <w:hyperlink r:id="rId10">
        <w:r>
          <w:rPr>
            <w:color w:val="0000EE"/>
            <w:u w:val="single"/>
          </w:rPr>
          <w:t>https://www.esma.europa.eu/sites/default/files/2026-01/ESMA35-24871704-2922_Guidelines_for_the_criteria_on_the_assessment_of_knowledge_and_competence_under_MiCA.pdf</w:t>
        </w:r>
      </w:hyperlink>
      <w:r>
        <w:t xml:space="preserve"> - The European Securities and Markets Authority (ESMA) has published guidelines detailing the criteria for assessing the knowledge and competence of management bodies under the Markets in Crypto-Assets Regulation (MiCA). These guidelines specify the necessary expertise in areas such as financial markets regulation, anti-money laundering (AML) and counter-terrorist financing (CTF), virtual assets, data protection, risk management, governance, digital operational resilience, strategic and managerial knowledge, third-party management, communication, and oversight. (</w:t>
      </w:r>
      <w:hyperlink r:id="rId17">
        <w:r>
          <w:rPr>
            <w:color w:val="0000EE"/>
            <w:u w:val="single"/>
          </w:rPr>
          <w:t>esma.europa.eu</w:t>
        </w:r>
      </w:hyperlink>
      <w:r>
        <w:t>)</w:t>
      </w:r>
      <w:r/>
    </w:p>
    <w:p>
      <w:pPr>
        <w:pStyle w:val="ListNumber"/>
        <w:spacing w:line="240" w:lineRule="auto"/>
        <w:ind w:left="720"/>
      </w:pPr>
      <w:r/>
      <w:hyperlink r:id="rId13">
        <w:r>
          <w:rPr>
            <w:color w:val="0000EE"/>
            <w:u w:val="single"/>
          </w:rPr>
          <w:t>https://www.mica.info/article/70/</w:t>
        </w:r>
      </w:hyperlink>
      <w:r>
        <w:t xml:space="preserve"> - Article 70 of the MiCA Regulation outlines the obligations of crypto-asset service providers regarding the safekeeping of clients' crypto-assets and funds. It mandates that providers implement adequate arrangements to safeguard clients' ownership rights, especially in the event of insolvency, and to prevent the use of clients' assets for their own account. Additionally, providers must ensure that clients' funds are held separately from their own funds and are placed with a credit institution or central bank by the end of the business day following receipt. (</w:t>
      </w:r>
      <w:hyperlink r:id="rId18">
        <w:r>
          <w:rPr>
            <w:color w:val="0000EE"/>
            <w:u w:val="single"/>
          </w:rPr>
          <w:t>mica.info</w:t>
        </w:r>
      </w:hyperlink>
      <w:r>
        <w:t>)</w:t>
      </w:r>
      <w:r/>
    </w:p>
    <w:p>
      <w:pPr>
        <w:pStyle w:val="ListNumber"/>
        <w:spacing w:line="240" w:lineRule="auto"/>
        <w:ind w:left="720"/>
      </w:pPr>
      <w:r/>
      <w:hyperlink r:id="rId14">
        <w:r>
          <w:rPr>
            <w:color w:val="0000EE"/>
            <w:u w:val="single"/>
          </w:rPr>
          <w:t>https://www.mica.info/article/76/</w:t>
        </w:r>
      </w:hyperlink>
      <w:r>
        <w:t xml:space="preserve"> - Article 76 of the MiCA Regulation specifies the requirements for crypto-asset service providers operating a trading platform for crypto-assets. Providers must establish clear and transparent operating rules, including approval processes, exclusion categories for certain crypto-assets, admission policies, participation criteria, trading rules, conditions for crypto-assets to remain accessible for trading, suspension conditions, and procedures for efficient settlement of both crypto-assets and funds. (</w:t>
      </w:r>
      <w:hyperlink r:id="rId19">
        <w:r>
          <w:rPr>
            <w:color w:val="0000EE"/>
            <w:u w:val="single"/>
          </w:rPr>
          <w:t>mica.info</w:t>
        </w:r>
      </w:hyperlink>
      <w:r>
        <w:t>)</w:t>
      </w:r>
      <w:r/>
    </w:p>
    <w:p>
      <w:pPr>
        <w:pStyle w:val="ListNumber"/>
        <w:spacing w:line="240" w:lineRule="auto"/>
        <w:ind w:left="720"/>
      </w:pPr>
      <w:r/>
      <w:hyperlink r:id="rId11">
        <w:r>
          <w:rPr>
            <w:color w:val="0000EE"/>
            <w:u w:val="single"/>
          </w:rPr>
          <w:t>https://www.mica.info/article/62/</w:t>
        </w:r>
      </w:hyperlink>
      <w:r>
        <w:t xml:space="preserve"> - Article 62 of the MiCA Regulation details the application process for authorisation as a crypto-asset service provider. Applicants must submit comprehensive information, including the legal name, contact details, legal form, articles of association, programme of operations, proof of compliance with prudential safeguards, governance arrangements, internal control mechanisms, technical documentation of ICT systems, procedures for segregation of clients' crypto-assets and funds, complaints-handling procedures, custody and administration policies, operating rules of trading platforms, and execution policies. (</w:t>
      </w:r>
      <w:hyperlink r:id="rId20">
        <w:r>
          <w:rPr>
            <w:color w:val="0000EE"/>
            <w:u w:val="single"/>
          </w:rPr>
          <w:t>mica.info</w:t>
        </w:r>
      </w:hyperlink>
      <w:r>
        <w:t>)</w:t>
      </w:r>
      <w:r/>
    </w:p>
    <w:p>
      <w:pPr>
        <w:pStyle w:val="ListNumber"/>
        <w:spacing w:line="240" w:lineRule="auto"/>
        <w:ind w:left="720"/>
      </w:pPr>
      <w:r/>
      <w:hyperlink r:id="rId12">
        <w:r>
          <w:rPr>
            <w:color w:val="0000EE"/>
            <w:u w:val="single"/>
          </w:rPr>
          <w:t>https://www.mica.info/article/63/</w:t>
        </w:r>
      </w:hyperlink>
      <w:r>
        <w:t xml:space="preserve"> - Article 63 of the MiCA Regulation outlines the assessment process for applications for authorisation as a crypto-asset service provider. Competent authorities must acknowledge receipt of applications within five working days and assess their completeness within 25 working days. If an application is incomplete, authorities will set a deadline for the applicant to provide missing information. Applications may be refused if they remain incomplete after the specified deadline. (</w:t>
      </w:r>
      <w:hyperlink r:id="rId21">
        <w:r>
          <w:rPr>
            <w:color w:val="0000EE"/>
            <w:u w:val="single"/>
          </w:rPr>
          <w:t>mica.wtf</w:t>
        </w:r>
      </w:hyperlink>
      <w:r>
        <w:t>)</w:t>
      </w:r>
      <w:r/>
    </w:p>
    <w:p>
      <w:pPr>
        <w:pStyle w:val="ListNumber"/>
        <w:spacing w:line="240" w:lineRule="auto"/>
        <w:ind w:left="720"/>
      </w:pPr>
      <w:r/>
      <w:hyperlink r:id="rId15">
        <w:r>
          <w:rPr>
            <w:color w:val="0000EE"/>
            <w:u w:val="single"/>
          </w:rPr>
          <w:t>https://www.mica.info/article/85/</w:t>
        </w:r>
      </w:hyperlink>
      <w:r>
        <w:t xml:space="preserve"> - Article 85 of the MiCA Regulation defines significant crypto-asset service providers as those with at least 15 million active users in the Union over a calendar year. Providers must notify their competent authorities within two months of reaching this threshold. Competent authorities are then required to inform the European Securities and Markets Authority (ESMA) of such developments. (</w:t>
      </w:r>
      <w:hyperlink r:id="rId22">
        <w:r>
          <w:rPr>
            <w:color w:val="0000EE"/>
            <w:u w:val="single"/>
          </w:rPr>
          <w:t>mica.info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news.net/news/legal/32799336/" TargetMode="External"/><Relationship Id="rId10" Type="http://schemas.openxmlformats.org/officeDocument/2006/relationships/hyperlink" Target="https://www.esma.europa.eu/sites/default/files/2026-01/ESMA35-24871704-2922_Guidelines_for_the_criteria_on_the_assessment_of_knowledge_and_competence_under_MiCA.pdf" TargetMode="External"/><Relationship Id="rId11" Type="http://schemas.openxmlformats.org/officeDocument/2006/relationships/hyperlink" Target="https://www.mica.info/article/62/" TargetMode="External"/><Relationship Id="rId12" Type="http://schemas.openxmlformats.org/officeDocument/2006/relationships/hyperlink" Target="https://www.mica.info/article/63/" TargetMode="External"/><Relationship Id="rId13" Type="http://schemas.openxmlformats.org/officeDocument/2006/relationships/hyperlink" Target="https://www.mica.info/article/70/" TargetMode="External"/><Relationship Id="rId14" Type="http://schemas.openxmlformats.org/officeDocument/2006/relationships/hyperlink" Target="https://www.mica.info/article/76/" TargetMode="External"/><Relationship Id="rId15" Type="http://schemas.openxmlformats.org/officeDocument/2006/relationships/hyperlink" Target="https://www.mica.info/article/85/" TargetMode="External"/><Relationship Id="rId16" Type="http://schemas.openxmlformats.org/officeDocument/2006/relationships/hyperlink" Target="https://www.noahwire.com" TargetMode="External"/><Relationship Id="rId17" Type="http://schemas.openxmlformats.org/officeDocument/2006/relationships/hyperlink" Target="https://www.esma.europa.eu/sites/default/files/2026-01/ESMA35-24871704-2922_Guidelines_for_the_criteria_on_the_assessment_of_knowledge_and_competence_under_MiCA.pdf?utm_source=openai" TargetMode="External"/><Relationship Id="rId18" Type="http://schemas.openxmlformats.org/officeDocument/2006/relationships/hyperlink" Target="https://www.mica.info/article/70/?utm_source=openai" TargetMode="External"/><Relationship Id="rId19" Type="http://schemas.openxmlformats.org/officeDocument/2006/relationships/hyperlink" Target="https://www.mica.info/article/76/?utm_source=openai" TargetMode="External"/><Relationship Id="rId20" Type="http://schemas.openxmlformats.org/officeDocument/2006/relationships/hyperlink" Target="https://www.mica.info/article/62/?utm_source=openai" TargetMode="External"/><Relationship Id="rId21" Type="http://schemas.openxmlformats.org/officeDocument/2006/relationships/hyperlink" Target="https://www.mica.wtf/mica/title-v-authorisation-and-operating-conditions-for-crypto-asset-service-providers-art.-59-85/chapter-1/article-63?utm_source=openai" TargetMode="External"/><Relationship Id="rId22" Type="http://schemas.openxmlformats.org/officeDocument/2006/relationships/hyperlink" Target="https://www.mica.info/article/8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