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credit sector faces delayed, yet substantial maturity wall in 2028 and 2029</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Reuters analysis of SEC filings from 74 private credit funds, known as business development companies, suggests the sector’s biggest refinancing test is still ahead. Of about $84 billion in assets tracked by the review, only roughly $15 billion is due this year, while the heaviest clusters of maturities fall in 2028 and 2029. That eases some immediate concern in a market already under strain from higher borrowing costs, softer earnings growth and weaker profitability among software lenders.</w:t>
      </w:r>
      <w:r/>
    </w:p>
    <w:p>
      <w:r/>
      <w:r>
        <w:t>The timing fits a broader pattern flagged by the Federal Reserve, which has said a sizeable share of private credit loans is concentrated in the later years of the decade, with a notable maturity wall in 2028 and 2029. S&amp;P Global has also warned that private credit’s expansion into larger deals has increased the importance of monitoring rollover risk, while other market analyses point to a similar build-up in leveraged loan maturities from 2028 onwards.</w:t>
      </w:r>
      <w:r/>
    </w:p>
    <w:p>
      <w:r/>
      <w:r>
        <w:t>For borrowers, the near-term picture is less alarming than the longer-term one. Lotfi Karoui, a multi-asset credit strategist at PIMCO, said in a note that refinancing needs for software companies in leveraged loan and direct lending markets remain relatively modest in the immediate future, reducing the chance of a sudden jump in distress. Even so, Fitch Ratings has reported weakening credit quality in parts of the BDC universe, with non-accruals rising and payment-in-kind income becoming more common.</w:t>
      </w:r>
      <w:r/>
    </w:p>
    <w:p>
      <w:r/>
      <w:r>
        <w:t>That leaves lenders and borrowers likely to rely more heavily on amend-and-extend deals, repricing exercises and other liability-management transactions as loans approach maturity. The pressure could be sharper for software and technology groups, where investors are already wary about slower growth and the potential impact of artificial intelligence disruption. If stress hits companies with several lenders at once, it could weigh on loan valuations and net asset value across the sector. For BDCs already trading below NAV, that would make new equity issuance more painful and could raise their funding costs.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[6]</w:t>
        </w:r>
      </w:hyperlink>
      <w:r>
        <w:t xml:space="preserve">, </w:t>
      </w:r>
      <w:hyperlink r:id="rId14">
        <w:r>
          <w:rPr>
            <w:color w:val="0000EE"/>
            <w:u w:val="single"/>
          </w:rPr>
          <w:t>[5]</w:t>
        </w:r>
      </w:hyperlink>
      <w:r>
        <w:t xml:space="preserve">- Paragraph 3: </w:t>
      </w:r>
      <w:hyperlink r:id="rId10">
        <w:r>
          <w:rPr>
            <w:color w:val="0000EE"/>
            <w:u w:val="single"/>
          </w:rPr>
          <w:t>[3]</w:t>
        </w:r>
      </w:hyperlink>
      <w:r>
        <w:t xml:space="preserve">, </w:t>
      </w:r>
      <w:hyperlink r:id="rId11">
        <w:r>
          <w:rPr>
            <w:color w:val="0000EE"/>
            <w:u w:val="single"/>
          </w:rPr>
          <w:t>[2]</w:t>
        </w:r>
      </w:hyperlink>
      <w:r>
        <w:t xml:space="preserve">- Paragraph 4: </w:t>
      </w:r>
      <w:hyperlink r:id="rId10">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https://allwork.space/2026/05/u-s-business-loan-analysis-shows-private-credit-maturity-risks-concentrated-in-2028-2029/?utm_source=rss&amp;utm_medium=rss&amp;utm_campaign=u-s-business-loan-analysis-shows-private-credit-maturity-risks-concentrated-in-2028-2029</w:t>
        </w:r>
      </w:hyperlink>
      <w:r>
        <w:t xml:space="preserve"> - Please view link - unable to able to access data</w:t>
      </w:r>
      <w:r/>
    </w:p>
    <w:p>
      <w:pPr>
        <w:pStyle w:val="ListNumber"/>
        <w:spacing w:line="240" w:lineRule="auto"/>
        <w:ind w:left="720"/>
      </w:pPr>
      <w:r/>
      <w:hyperlink r:id="rId11">
        <w:r>
          <w:rPr>
            <w:color w:val="0000EE"/>
            <w:u w:val="single"/>
          </w:rPr>
          <w:t>https://www.federalreserve.gov/econres/notes/feds-notes/private-credit-characteristics-and-risks-accessible-20240223.htm</w:t>
        </w:r>
      </w:hyperlink>
      <w:r>
        <w:t xml:space="preserve"> - The Federal Reserve Board's report on private credit provides an analysis of the maturity wall in private credit, highlighting that 21.4% of loans are set to mature in 2028, with 8.5% in 2029. This indicates a significant concentration of loan maturities in these years, which could pose refinancing challenges for borrowers and lenders alike. The report underscores the importance of monitoring these trends to assess potential risks in the financial system.</w:t>
      </w:r>
      <w:r/>
    </w:p>
    <w:p>
      <w:pPr>
        <w:pStyle w:val="ListNumber"/>
        <w:spacing w:line="240" w:lineRule="auto"/>
        <w:ind w:left="720"/>
      </w:pPr>
      <w:r/>
      <w:hyperlink r:id="rId10">
        <w:r>
          <w:rPr>
            <w:color w:val="0000EE"/>
            <w:u w:val="single"/>
          </w:rPr>
          <w:t>https://www.investing.com/news/economy-news/for-private-credit-borrowers-big-maturity-walls-are-further-out-4653565</w:t>
        </w:r>
      </w:hyperlink>
      <w:r>
        <w:t xml:space="preserve"> - An article from Investing.com discusses the maturity profiles of private credit borrowers, noting that while only about $15 billion of a total $84 billion in assets mature this year, the majority of loan maturities are concentrated in 2028 and 2029. This suggests that refinancing pressures may be delayed but could intensify in the coming years, potentially impacting the private banking sector and mid-sized borrowers.</w:t>
      </w:r>
      <w:r/>
    </w:p>
    <w:p>
      <w:pPr>
        <w:pStyle w:val="ListNumber"/>
        <w:spacing w:line="240" w:lineRule="auto"/>
        <w:ind w:left="720"/>
      </w:pPr>
      <w:r/>
      <w:hyperlink r:id="rId12">
        <w:r>
          <w:rPr>
            <w:color w:val="0000EE"/>
            <w:u w:val="single"/>
          </w:rPr>
          <w:t>https://www.spglobal.com/ratings/en/research/private-markets/private-credit</w:t>
        </w:r>
      </w:hyperlink>
      <w:r>
        <w:t xml:space="preserve"> - S&amp;P Global's overview of private credit markets highlights the growth and diversification of private credit, noting that the market has expanded to include larger borrowers and more significant loans for mergers, acquisitions, and leveraged buyouts. The report also points out that private credit's continued growth is highlighting the potential for systemic risk, especially with maturities set to peak in 2028, with $49.5 billion likely to come due.</w:t>
      </w:r>
      <w:r/>
    </w:p>
    <w:p>
      <w:pPr>
        <w:pStyle w:val="ListNumber"/>
        <w:spacing w:line="240" w:lineRule="auto"/>
        <w:ind w:left="720"/>
      </w:pPr>
      <w:r/>
      <w:hyperlink r:id="rId14">
        <w:r>
          <w:rPr>
            <w:color w:val="0000EE"/>
            <w:u w:val="single"/>
          </w:rPr>
          <w:t>https://www.indexbox.io/blog/leveraged-loan-maturities-surge-from-2028-diverge-from-high-yield-bonds/</w:t>
        </w:r>
      </w:hyperlink>
      <w:r>
        <w:t xml:space="preserve"> - An analysis by IndexBox examines the surge in leveraged loan maturities starting in 2028, with 34% of U.S. and 40% of EMEA leveraged loans maturing in the 2028-2029 period. In contrast, high-yield bonds have a more evenly spread maturity profile, with roughly 20% maturing in 2029. This divergence suggests differing refinancing challenges for borrowers in these markets.</w:t>
      </w:r>
      <w:r/>
    </w:p>
    <w:p>
      <w:pPr>
        <w:pStyle w:val="ListNumber"/>
        <w:spacing w:line="240" w:lineRule="auto"/>
        <w:ind w:left="720"/>
      </w:pPr>
      <w:r/>
      <w:hyperlink r:id="rId13">
        <w:r>
          <w:rPr>
            <w:color w:val="0000EE"/>
            <w:u w:val="single"/>
          </w:rPr>
          <w:t>https://www.hamiltonlane.com/en-us/insight/credits-1-7-trillion-opportunity</w:t>
        </w:r>
      </w:hyperlink>
      <w:r>
        <w:t xml:space="preserve"> - Hamilton Lane's report on private credit discusses the sector's growth and the potential for systemic risk, noting that private credit's continued expansion is highlighting the potential for systemic risk, especially with maturities set to peak in 2028, with $49.5 billion likely to come due. The report also highlights the importance of monitoring these trends to assess potential risks in the financial system.</w:t>
      </w:r>
      <w:r/>
    </w:p>
    <w:p>
      <w:pPr>
        <w:pStyle w:val="ListNumber"/>
        <w:spacing w:line="240" w:lineRule="auto"/>
        <w:ind w:left="720"/>
      </w:pPr>
      <w:r/>
      <w:hyperlink r:id="rId15">
        <w:r>
          <w:rPr>
            <w:color w:val="0000EE"/>
            <w:u w:val="single"/>
          </w:rPr>
          <w:t>https://www.wealthmanagement.com/alternative-investments/preqin-limited-risk-seen-in-private-credit-bdc-portfolios</w:t>
        </w:r>
      </w:hyperlink>
      <w:r>
        <w:t xml:space="preserve"> - A WealthManagement.com article reports that Business Development Companies (BDCs) have loan maturities spread out, with most loans set to mature between 2028 and 2031, indicating no serious concentration risk. The article also notes that the peak years for loans coming due will be 2029 and 2031, with $68.2 billion and $72.9 billion, respectively, suggesting that refinancing pressures may be more pronounced in these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lwork.space/2026/05/u-s-business-loan-analysis-shows-private-credit-maturity-risks-concentrated-in-2028-2029/?utm_source=rss&amp;utm_medium=rss&amp;utm_campaign=u-s-business-loan-analysis-shows-private-credit-maturity-risks-concentrated-in-2028-2029" TargetMode="External"/><Relationship Id="rId10" Type="http://schemas.openxmlformats.org/officeDocument/2006/relationships/hyperlink" Target="https://www.investing.com/news/economy-news/for-private-credit-borrowers-big-maturity-walls-are-further-out-4653565" TargetMode="External"/><Relationship Id="rId11" Type="http://schemas.openxmlformats.org/officeDocument/2006/relationships/hyperlink" Target="https://www.federalreserve.gov/econres/notes/feds-notes/private-credit-characteristics-and-risks-accessible-20240223.htm" TargetMode="External"/><Relationship Id="rId12" Type="http://schemas.openxmlformats.org/officeDocument/2006/relationships/hyperlink" Target="https://www.spglobal.com/ratings/en/research/private-markets/private-credit" TargetMode="External"/><Relationship Id="rId13" Type="http://schemas.openxmlformats.org/officeDocument/2006/relationships/hyperlink" Target="https://www.hamiltonlane.com/en-us/insight/credits-1-7-trillion-opportunity" TargetMode="External"/><Relationship Id="rId14" Type="http://schemas.openxmlformats.org/officeDocument/2006/relationships/hyperlink" Target="https://www.indexbox.io/blog/leveraged-loan-maturities-surge-from-2028-diverge-from-high-yield-bonds/" TargetMode="External"/><Relationship Id="rId15" Type="http://schemas.openxmlformats.org/officeDocument/2006/relationships/hyperlink" Target="https://www.wealthmanagement.com/alternative-investments/preqin-limited-risk-seen-in-private-credit-bdc-portfolio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