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emphasise the importance of judgement and controls in correspondent banking amid systemic shortcomings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Correspondent banking sits in a different compliance category from ordinary customer due diligence. The bank at the far end of the chain is not assessing the person whose money is moving; it is assessing the institution that was supposed to have already identified that customer and understood the risk. That distinction matters because the controls are built around a respondent bank’s systems, governance and oversight, rather than the natural person on the other side of the payment.</w:t>
      </w:r>
      <w:r/>
    </w:p>
    <w:p>
      <w:r/>
      <w:r>
        <w:t>FATF has made that point clearly in its correspondent banking guidance, saying institutions do not need to carry out due diligence on every individual customer of a respondent bank. The risk-based approach, the standard also reflected in FSB commentary, is meant to recognise that correspondent relationships vary widely in exposure and should be assessed accordingly. In other words, the task is to judge the counterparty and its controls, not to recreate retail onboarding one layer further downstream.</w:t>
      </w:r>
      <w:r/>
    </w:p>
    <w:p>
      <w:r/>
      <w:r>
        <w:t>That is why the payable-through account exception matters so much. It is the narrow point at which the correspondent must satisfy itself that the respondent has done proper due diligence on the underlying customers. Outside that exception, the regime does not expect know-your-customer’s-customer controls. Instead, it requires a structured review of the respondent’s business, supervision and anti-money laundering framework, with enhanced scrutiny where the relationship presents higher risk.</w:t>
      </w:r>
      <w:r/>
    </w:p>
    <w:p>
      <w:r/>
      <w:r>
        <w:t>The industry has built its main tool around that logic. The Wolfsberg Correspondent Banking Due Diligence Questionnaire is designed to surface ownership, licensing, sanctions screening, transaction monitoring and other elements of the respondent’s control environment. But the questionnaire is only as strong as the challenge applied to it. Where answers are refreshed on a cycle and compared mainly with the previous form, rather than with live behaviour, the process can become administrative rather than analytical.</w:t>
      </w:r>
      <w:r/>
    </w:p>
    <w:p>
      <w:r/>
      <w:r>
        <w:t>Regulators have already shown what that failure looks like. The FCA’s action against Deutsche Bank exposed the danger of weak control over suspicious activity patterns, while its Standard Chartered final notice pointed to serious and systemic shortcomings in correspondent banking due diligence. FATF has also warned against de-risking, arguing that simply abandoning relationships is inconsistent with a risk-based framework and can push activity into weaker, less transparent channels. The message from the rulebooks is consistent: correspondent banking is not ordinary CDD, but it still demands judgement, escalation and genuine understanding of the respondent’s risk.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Paragraph 4: </w:t>
      </w:r>
      <w:hyperlink r:id="rId13">
        <w:r>
          <w:rPr>
            <w:color w:val="0000EE"/>
            <w:u w:val="single"/>
          </w:rPr>
          <w:t>[4]</w:t>
        </w:r>
      </w:hyperlink>
      <w:r>
        <w:t xml:space="preserve">- Paragraph 5: </w:t>
      </w:r>
      <w:hyperlink r:id="rId12">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https://www.finextra.com/blogposting/31583/client-due-diligence-at-one-remove-the-correspondent-banking-problem?utm_medium=rssfinextra&amp;utm_source=finextrablogs</w:t>
        </w:r>
      </w:hyperlink>
      <w:r>
        <w:t xml:space="preserve"> - Please view link - unable to able to access data</w:t>
      </w:r>
      <w:r/>
    </w:p>
    <w:p>
      <w:pPr>
        <w:pStyle w:val="ListNumber"/>
        <w:spacing w:line="240" w:lineRule="auto"/>
        <w:ind w:left="720"/>
      </w:pPr>
      <w:r/>
      <w:hyperlink r:id="rId10">
        <w:r>
          <w:rPr>
            <w:color w:val="0000EE"/>
            <w:u w:val="single"/>
          </w:rPr>
          <w:t>https://www.fatf-gafi.org/en/publications/Fatfrecommendations/Correspondent-banking-services.html</w:t>
        </w:r>
      </w:hyperlink>
      <w:r>
        <w:t xml:space="preserve"> - The Financial Action Task Force (FATF) has published guidance on correspondent banking services, clarifying that financial institutions are not required to conduct customer due diligence on each individual customer of their respondent institutions. The guidance also highlights that not all correspondent banking relationships carry the same level of money laundering or terrorist financing risks, and enhanced due diligence measures should be commensurate with the degree of risks identified. This guidance was developed with input from the private sector and in collaboration with the Financial Stability Board (FSB).</w:t>
      </w:r>
      <w:r/>
    </w:p>
    <w:p>
      <w:pPr>
        <w:pStyle w:val="ListNumber"/>
        <w:spacing w:line="240" w:lineRule="auto"/>
        <w:ind w:left="720"/>
      </w:pPr>
      <w:r/>
      <w:hyperlink r:id="rId12">
        <w:r>
          <w:rPr>
            <w:color w:val="0000EE"/>
            <w:u w:val="single"/>
          </w:rPr>
          <w:t>https://www.fsb.org/2016/10/guidance-on-correspondent-banking-services/</w:t>
        </w:r>
      </w:hyperlink>
      <w:r>
        <w:t xml:space="preserve"> - The Financial Stability Board (FSB) has issued guidance on correspondent banking services, emphasizing the importance of these relationships in the global payment system and international trade. The guidance addresses concerns about de-risking, where financial institutions terminate business relationships to avoid potential money laundering or terrorist financing risks. It clarifies that such practices are inconsistent with FATF Recommendations and can lead to financial exclusion and increased exposure to financial crimes. The FSB developed this guidance in collaboration with the FATF and other international bodies.</w:t>
      </w:r>
      <w:r/>
    </w:p>
    <w:p>
      <w:pPr>
        <w:pStyle w:val="ListNumber"/>
        <w:spacing w:line="240" w:lineRule="auto"/>
        <w:ind w:left="720"/>
      </w:pPr>
      <w:r/>
      <w:hyperlink r:id="rId13">
        <w:r>
          <w:rPr>
            <w:color w:val="0000EE"/>
            <w:u w:val="single"/>
          </w:rPr>
          <w:t>https://www.fatf-gafi.org/en/publications/Fatfgeneral/Guidance-information-sharing.html</w:t>
        </w:r>
      </w:hyperlink>
      <w:r>
        <w:t xml:space="preserve"> - The FATF has released guidance on private sector information sharing, aiming to improve the exchange of information between financial institutions to combat financial crimes. The guidance addresses obstacles to effective information sharing, including legal constraints and operational challenges, and articulates the requirements of the FATF Recommendations in this context. Developed with input from the private sector, the guidance includes country examples and encourages continuous dialogue between private and public sectors to enhance the quality and usefulness of shared information.</w:t>
      </w:r>
      <w:r/>
    </w:p>
    <w:p>
      <w:pPr>
        <w:pStyle w:val="ListNumber"/>
        <w:spacing w:line="240" w:lineRule="auto"/>
        <w:ind w:left="720"/>
      </w:pPr>
      <w:r/>
      <w:hyperlink r:id="rId11">
        <w:r>
          <w:rPr>
            <w:color w:val="0000EE"/>
            <w:u w:val="single"/>
          </w:rPr>
          <w:t>https://www.fatf-gafi.org/en/publications/Fatfgeneral/Guidance-Correspondent-Banking-Services.html</w:t>
        </w:r>
      </w:hyperlink>
      <w:r>
        <w:t xml:space="preserve"> - The FATF has published guidance on correspondent banking services, clarifying that financial institutions are not required to conduct customer due diligence on each individual customer of their respondent institutions. The guidance also highlights that not all correspondent banking relationships carry the same level of money laundering or terrorist financing risks, and enhanced due diligence measures should be commensurate with the degree of risks identified. This guidance was developed with input from the private sector and in collaboration with the Financial Stability Board (FSB).</w:t>
      </w:r>
      <w:r/>
    </w:p>
    <w:p>
      <w:pPr>
        <w:pStyle w:val="ListNumber"/>
        <w:spacing w:line="240" w:lineRule="auto"/>
        <w:ind w:left="720"/>
      </w:pPr>
      <w:r/>
      <w:hyperlink r:id="rId13">
        <w:r>
          <w:rPr>
            <w:color w:val="0000EE"/>
            <w:u w:val="single"/>
          </w:rPr>
          <w:t>https://www.fatf-gafi.org/en/publications/Fatfgeneral/Guidance-information-sharing.html</w:t>
        </w:r>
      </w:hyperlink>
      <w:r>
        <w:t xml:space="preserve"> - The FATF has released guidance on private sector information sharing, aiming to improve the exchange of information between financial institutions to combat financial crimes. The guidance addresses obstacles to effective information sharing, including legal constraints and operational challenges, and articulates the requirements of the FATF Recommendations in this context. Developed with input from the private sector, the guidance includes country examples and encourages continuous dialogue between private and public sectors to enhance the quality and usefulness of shared information.</w:t>
      </w:r>
      <w:r/>
    </w:p>
    <w:p>
      <w:pPr>
        <w:pStyle w:val="ListNumber"/>
        <w:spacing w:line="240" w:lineRule="auto"/>
        <w:ind w:left="720"/>
      </w:pPr>
      <w:r/>
      <w:hyperlink r:id="rId11">
        <w:r>
          <w:rPr>
            <w:color w:val="0000EE"/>
            <w:u w:val="single"/>
          </w:rPr>
          <w:t>https://www.fatf-gafi.org/en/publications/Fatfgeneral/Guidance-Correspondent-Banking-Services.html</w:t>
        </w:r>
      </w:hyperlink>
      <w:r>
        <w:t xml:space="preserve"> - The FATF has published guidance on correspondent banking services, clarifying that financial institutions are not required to conduct customer due diligence on each individual customer of their respondent institutions. The guidance also highlights that not all correspondent banking relationships carry the same level of money laundering or terrorist financing risks, and enhanced due diligence measures should be commensurate with the degree of risks identified. This guidance was developed with input from the private sector and in collaboration with the Financial Stability Board (FSB).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extra.com/blogposting/31583/client-due-diligence-at-one-remove-the-correspondent-banking-problem?utm_medium=rssfinextra&amp;utm_source=finextrablogs" TargetMode="External"/><Relationship Id="rId10" Type="http://schemas.openxmlformats.org/officeDocument/2006/relationships/hyperlink" Target="https://www.fatf-gafi.org/en/publications/Fatfrecommendations/Correspondent-banking-services.html" TargetMode="External"/><Relationship Id="rId11" Type="http://schemas.openxmlformats.org/officeDocument/2006/relationships/hyperlink" Target="https://www.fatf-gafi.org/en/publications/Fatfgeneral/Guidance-Correspondent-Banking-Services.html" TargetMode="External"/><Relationship Id="rId12" Type="http://schemas.openxmlformats.org/officeDocument/2006/relationships/hyperlink" Target="https://www.fsb.org/2016/10/guidance-on-correspondent-banking-services/" TargetMode="External"/><Relationship Id="rId13" Type="http://schemas.openxmlformats.org/officeDocument/2006/relationships/hyperlink" Target="https://www.fatf-gafi.org/en/publications/Fatfgeneral/Guidance-information-sharing.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