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tension drives new legal demands amid acceleration in tech and finance sectors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Will Carmody, managing partner at Mason Hayes &amp; Curran, says clients are being forced to navigate a business environment in which some rules are hardening even as others are being relaxed, a tension that is reshaping legal demand across sectors. In practice, he argues, that means companies need advisers who can interpret regulation alongside commercial risk, rather than treat the two as separate exercises.</w:t>
      </w:r>
      <w:r/>
    </w:p>
    <w:p>
      <w:r/>
      <w:r>
        <w:t>The firm says its busiest lines of work remain those where regulation, capital and operational risk overlap, with technology, financial services, energy, infrastructure, healthcare and corporate mergers and acquisitions all staying active. Mason Hayes &amp; Curran also points to a firmer tone in dealmaking in the second half of the year, especially in M&amp;A and financing, as investor sentiment recovered after the market shock caused by early-year US tariff moves began to ease.</w:t>
      </w:r>
      <w:r/>
    </w:p>
    <w:p>
      <w:r/>
      <w:r>
        <w:t>That broader pattern fits with what other advisory firms are seeing. KPMG’s mid-year regulatory report said companies are facing a fast-moving wave of rules across data, consumer protection, governance and risk, with overlapping regimes creating uncertainty and making established compliance playbooks harder to use. Mason Hayes &amp; Curran says that pressure is particularly visible where new technology is colliding with older industries: fintech groups are expanding across borders into tougher regulatory terrain, while AI-enabled healthcare tools and wearables are raising fresh questions about data control and accountability.</w:t>
      </w:r>
      <w:r/>
    </w:p>
    <w:p>
      <w:r/>
      <w:r>
        <w:t>The firm also sees a sustained push towards simplification in parts of Europe, reflecting concerns that excessive regulation is eroding competitiveness, as highlighted by the Draghi report. That mix of tighter oversight in some areas and looser approaches in others is, in Carmody’s view, creating both risk and opportunity. Looking ahead, Mason Hayes &amp; Curran expects that parallel Irish and EU regimes will continue to shape work in technology, financial services, healthcare and energy, while investment in digital transformation remains a major priority for clients. The firm says its own spending on legal technology and infrastructure is aimed at improving efficiency, collaboration and service delivery as geopolitical uncertainty increasingly feeds into business planning.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https://businessplus.ie/lawplus/will-carmody-mason-hayes-curran-law/</w:t>
        </w:r>
      </w:hyperlink>
      <w:r>
        <w:t xml:space="preserve"> - Please view link - unable to able to access data</w:t>
      </w:r>
      <w:r/>
    </w:p>
    <w:p>
      <w:pPr>
        <w:pStyle w:val="ListNumber"/>
        <w:spacing w:line="240" w:lineRule="auto"/>
        <w:ind w:left="720"/>
      </w:pPr>
      <w:r/>
      <w:hyperlink r:id="rId12">
        <w:r>
          <w:rPr>
            <w:color w:val="0000EE"/>
            <w:u w:val="single"/>
          </w:rPr>
          <w:t>https://kpmg.com/us/en/media/news/2025-mid-year-regulatory-report.html</w:t>
        </w:r>
      </w:hyperlink>
      <w:r>
        <w:t xml:space="preserve"> - KPMG's 2025 Mid-Year Regulatory Report highlights the rapid pace and volume of regulatory changes across sectors like technology, data, consumer protection, risk management, and governance. The report notes that historic regulatory processes are being challenged, leading to increased business uncertainty. It also discusses the divergence and fragmentation of regulations, emphasizing the need for businesses to adapt to a complex and evolving regulatory environment. The report provides insights into ten key regulatory challenges and offers perspectives on what to expect in the latter half of 2025.</w:t>
      </w:r>
      <w:r/>
    </w:p>
    <w:p>
      <w:pPr>
        <w:pStyle w:val="ListNumber"/>
        <w:spacing w:line="240" w:lineRule="auto"/>
        <w:ind w:left="720"/>
      </w:pPr>
      <w:r/>
      <w:hyperlink r:id="rId10">
        <w:r>
          <w:rPr>
            <w:color w:val="0000EE"/>
            <w:u w:val="single"/>
          </w:rPr>
          <w:t>https://www.mhc.ie/capsule/latest/m-a-2024-developments-and-2025-planning</w:t>
        </w:r>
      </w:hyperlink>
      <w:r>
        <w:t xml:space="preserve"> - Mason Hayes &amp; Curran's article discusses the evolving M&amp;A landscape, noting increased activity in 2024 and optimistic projections for 2025. It highlights developments such as the enforceability of non-compete clauses, shifts in financial services M&amp;A driven by digital transformation and regulation, and the growing reliance on warranty and indemnity insurance in transactions. The article also anticipates increased M&amp;A activity in 2025, driven by political and economic clarity, with a focus on sectors like technology and medtech, and mentions the forthcoming foreign investment screening regime in Ireland.</w:t>
      </w:r>
      <w:r/>
    </w:p>
    <w:p>
      <w:pPr>
        <w:pStyle w:val="ListNumber"/>
        <w:spacing w:line="240" w:lineRule="auto"/>
        <w:ind w:left="720"/>
      </w:pPr>
      <w:r/>
      <w:hyperlink r:id="rId13">
        <w:r>
          <w:rPr>
            <w:color w:val="0000EE"/>
            <w:u w:val="single"/>
          </w:rPr>
          <w:t>https://guidehouse.com/insights/healthcare/2025/healthcare-ma-regulations</w:t>
        </w:r>
      </w:hyperlink>
      <w:r>
        <w:t xml:space="preserve"> - Guidehouse's article examines how the easing of federal regulations is influencing healthcare M&amp;A. It notes the rescission of the 2021 Executive Order on Promoting Competition and a more permissive tone from the Federal Trade Commission, signaling greater flexibility for health systems pursuing strategic growth or consolidation. The article emphasizes the need for health systems to align M&amp;A decisions with long-term strategy, community benefit, and operational sustainability, considering factors like payer mix, provider relationships, and digital maturity.</w:t>
      </w:r>
      <w:r/>
    </w:p>
    <w:p>
      <w:pPr>
        <w:pStyle w:val="ListNumber"/>
        <w:spacing w:line="240" w:lineRule="auto"/>
        <w:ind w:left="720"/>
      </w:pPr>
      <w:r/>
      <w:hyperlink r:id="rId14">
        <w:r>
          <w:rPr>
            <w:color w:val="0000EE"/>
            <w:u w:val="single"/>
          </w:rPr>
          <w:t>https://www.bakermckenzie.com/en/insight/publications/2025/02/driving-tech-growth-amid-regulatory-and-antitrust-scrutiny</w:t>
        </w:r>
      </w:hyperlink>
      <w:r>
        <w:t xml:space="preserve"> - Baker McKenzie's article discusses the transformation in the technology sector, driven by emerging technologies and advancements in AI. It highlights the complexities of dealmaking due to antitrust, national security, and foreign investment regulations. The article provides an outlook on tech M&amp;A, analyzing the evolving regulatory landscape and offering strategies for maximizing opportunities while protecting deal value. It notes a positive tech M&amp;A outlook, with AI investments likely to be central to much activity, and emphasizes the importance of navigating regulatory and antitrust scrutiny.</w:t>
      </w:r>
      <w:r/>
    </w:p>
    <w:p>
      <w:pPr>
        <w:pStyle w:val="ListNumber"/>
        <w:spacing w:line="240" w:lineRule="auto"/>
        <w:ind w:left="720"/>
      </w:pPr>
      <w:r/>
      <w:hyperlink r:id="rId11">
        <w:r>
          <w:rPr>
            <w:color w:val="0000EE"/>
            <w:u w:val="single"/>
          </w:rPr>
          <w:t>https://www.mhc.ie/uploads/documents/Reports-Legal-Ireland-Report-Nov-2025.pdf</w:t>
        </w:r>
      </w:hyperlink>
      <w:r>
        <w:t xml:space="preserve"> - Mason Hayes &amp; Curran's Ireland Report for November 2025 highlights significant activity in sectors like technology, energy, and infrastructure. It notes that regulation is driving substantial activity, including advisory and regulatory enforcement work, disputes, and judicial review proceedings. The report also mentions the government's commitment to investing billions into infrastructure, which is expected to drive work across multiple sectors and practice areas, including real estate, project finance, M&amp;A, construction, engineering, and utilities.</w:t>
      </w:r>
      <w:r/>
    </w:p>
    <w:p>
      <w:pPr>
        <w:pStyle w:val="ListNumber"/>
        <w:spacing w:line="240" w:lineRule="auto"/>
        <w:ind w:left="720"/>
      </w:pPr>
      <w:r/>
      <w:hyperlink r:id="rId15">
        <w:r>
          <w:rPr>
            <w:color w:val="0000EE"/>
            <w:u w:val="single"/>
          </w:rPr>
          <w:t>https://practiceguides.chambers.com/practice-guides/corporate-ma-2025/usa-new-york/trends-and-developments</w:t>
        </w:r>
      </w:hyperlink>
      <w:r>
        <w:t xml:space="preserve"> - Chambers and Partners' Corporate M&amp;A 2025 guide discusses trends and developments in the M&amp;A landscape, particularly in sectors like healthcare, technology, and energy. It notes that companies in the healthcare and life sciences sector are seeking to remain competitive and accelerate growth through strategic acquisitions. The guide also highlights that companies in the technology sector have been showing strength in M&amp;A activity involving AI, cloud services, and cybersecurity, among other areas, including those adjacent to AI technologies, such as data centres and energy 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plus.ie/lawplus/will-carmody-mason-hayes-curran-law/" TargetMode="External"/><Relationship Id="rId10" Type="http://schemas.openxmlformats.org/officeDocument/2006/relationships/hyperlink" Target="https://www.mhc.ie/capsule/latest/m-a-2024-developments-and-2025-planning" TargetMode="External"/><Relationship Id="rId11" Type="http://schemas.openxmlformats.org/officeDocument/2006/relationships/hyperlink" Target="https://www.mhc.ie/uploads/documents/Reports-Legal-Ireland-Report-Nov-2025.pdf" TargetMode="External"/><Relationship Id="rId12" Type="http://schemas.openxmlformats.org/officeDocument/2006/relationships/hyperlink" Target="https://kpmg.com/us/en/media/news/2025-mid-year-regulatory-report.html" TargetMode="External"/><Relationship Id="rId13" Type="http://schemas.openxmlformats.org/officeDocument/2006/relationships/hyperlink" Target="https://guidehouse.com/insights/healthcare/2025/healthcare-ma-regulations" TargetMode="External"/><Relationship Id="rId14" Type="http://schemas.openxmlformats.org/officeDocument/2006/relationships/hyperlink" Target="https://www.bakermckenzie.com/en/insight/publications/2025/02/driving-tech-growth-amid-regulatory-and-antitrust-scrutiny" TargetMode="External"/><Relationship Id="rId15" Type="http://schemas.openxmlformats.org/officeDocument/2006/relationships/hyperlink" Target="https://practiceguides.chambers.com/practice-guides/corporate-ma-2025/usa-new-york/trends-and-developm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