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Tullow Oil's refinancing marks significant shift with Glencore advisory success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Linklaters has advised Glencore on a refinancing that Tullow Oil says will ease its near-term debt burden and give the company more room to carry out its investment plans. In April, the London-listed producer said the deal covered its $1.285 billion senior secured notes and Glencore’s $400 million facility, and that it had won overwhelming backing from noteholders after being put to a consent solicitation.</w:t>
      </w:r>
      <w:r/>
    </w:p>
    <w:p>
      <w:r/>
      <w:r>
        <w:t>According to Linklaters, the package extends the maturity of the senior secured notes to 15 November 2028 and includes a $100 million debt paydown. Glencore’s existing secured notes will be replaced with $423 million of junior notes due 15 May 2030, while a separate $100 million super senior revolving cargo prepayment facility will also be made available by Glencore.</w:t>
      </w:r>
      <w:r/>
    </w:p>
    <w:p>
      <w:r/>
      <w:r>
        <w:t>Tullow said the refinancing was designed to lengthen its debt profile, support its capital programme and create a steadier base for maximising value from its asset portfolio. The company also said it would strengthen governance by appointing at least three independent non-executive directors and creating a board sub-committee focused on value maximisation.</w:t>
      </w:r>
      <w:r/>
    </w:p>
    <w:p>
      <w:r/>
      <w:r>
        <w:t>The deal marks another notable mandate for Linklaters’ restructuring and financing teams, which included Rowland Light, Toby Grimstone and Ewan Smith. Tullow said the transaction was expected to complete in the second quarter of 2026, and later market reports indicated that the refinancing was successfully closed with support from more than 99% of bondholders and Glencore.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https://legaldesire.com/linklaters-advises-glencore-on-the-refinancing-of-tullow-oils-debt/</w:t>
        </w:r>
      </w:hyperlink>
      <w:r>
        <w:t xml:space="preserve"> - Please view link - unable to able to access data</w:t>
      </w:r>
      <w:r/>
    </w:p>
    <w:p>
      <w:pPr>
        <w:pStyle w:val="ListNumber"/>
        <w:spacing w:line="240" w:lineRule="auto"/>
        <w:ind w:left="720"/>
      </w:pPr>
      <w:r/>
      <w:hyperlink r:id="rId10">
        <w:r>
          <w:rPr>
            <w:color w:val="0000EE"/>
            <w:u w:val="single"/>
          </w:rPr>
          <w:t>https://www.linklaters.com/about-us/news-and-deals/deals/2026/april/linklaters-advises-glencore-on-the-refinancing-of-tullow-oil</w:t>
        </w:r>
      </w:hyperlink>
      <w:r>
        <w:t xml:space="preserve"> - Linklaters has advised Glencore on the refinancing of Tullow Oil's debt, including $1.285 billion senior secured notes and $400 million Glencore junior notes. The transaction was implemented consensually with Glencore and achieved 99.7% support from noteholders. Key highlights include extending the maturity of the senior secured notes to 15 November 2028, a $100 million debt paydown, replacing Glencore's $400 million secured notes with $423 million junior notes maturing 15 May 2030, and providing a $100 million super senior revolving cargo prepayment facility. Tullow also strengthened its corporate governance by appointing at least three new independent non-executive directors and forming a dedicated board sub-committee to oversee value-maximisation across the company's asset base. The Linklaters team was led by Rowland Light, Toby Grimstone, and Ewan Smith, with other team members including Atish Shah, Christianne Williams, Ifeanyi Chukwulobelu, Richard Ness, Erin Gordon, Robyn Wyatt, Rory Carbery, Felipe Barros Lima, and Kai Costelloe.</w:t>
      </w:r>
      <w:r/>
    </w:p>
    <w:p>
      <w:pPr>
        <w:pStyle w:val="ListNumber"/>
        <w:spacing w:line="240" w:lineRule="auto"/>
        <w:ind w:left="720"/>
      </w:pPr>
      <w:r/>
      <w:hyperlink r:id="rId11">
        <w:r>
          <w:rPr>
            <w:color w:val="0000EE"/>
            <w:u w:val="single"/>
          </w:rPr>
          <w:t>https://www.tullowoil.com/media/press-releases/tullow-announces-refinancing-transaction-and-lock-agreement-c66-its-noteholders-and-glencore/</w:t>
        </w:r>
      </w:hyperlink>
      <w:r>
        <w:t xml:space="preserve"> - Tullow Oil plc announced a refinancing transaction with holders of approximately 66% of its $1.285 billion senior secured notes due May 2026 and Glencore. The refinancing includes releasing the existing senior secured notes and issuing new extended notes maturing 15 November 2028, along with a debt paydown of at least $100 million. Glencore's existing $400 million secured notes facility will be replaced with new junior secured notes maturing 15 May 2030. Additionally, Tullow will enter into a $100 million super senior cargo prepayment facility with Glencore. The refinancing aims to extend Tullow's debt maturity profile, support its investment programme, and create a stable platform for value-maximisation of its asset base. The transaction is expected to complete in the second quarter of 2026.</w:t>
      </w:r>
      <w:r/>
    </w:p>
    <w:p>
      <w:pPr>
        <w:pStyle w:val="ListNumber"/>
        <w:spacing w:line="240" w:lineRule="auto"/>
        <w:ind w:left="720"/>
      </w:pPr>
      <w:r/>
      <w:hyperlink r:id="rId12">
        <w:r>
          <w:rPr>
            <w:color w:val="0000EE"/>
            <w:u w:val="single"/>
          </w:rPr>
          <w:t>https://www.marketscreener.com/news/tullow-oil-plc-completes-refinancing-transaction-by-issuing-1-185-million-senior-secured-notes-due-ce7f59d2d980f62c</w:t>
        </w:r>
      </w:hyperlink>
      <w:r>
        <w:t xml:space="preserve"> - Tullow Oil plc announced the successful completion of its refinancing transaction, which included redeeming $100 million of existing notes at par plus accrued interest and releasing the remaining existing notes. The company issued $1.185 billion senior secured notes due 2028, released all obligations under its existing $400 million secured notes facility, issued $423 million of junior secured notes, entered into a $100 million new super senior cargo prepayment facility, and issued $25 million of additional new notes to Glencore. The refinancing transaction received support from over 99% of bondholders and Glencore.</w:t>
      </w:r>
      <w:r/>
    </w:p>
    <w:p>
      <w:pPr>
        <w:pStyle w:val="ListNumber"/>
        <w:spacing w:line="240" w:lineRule="auto"/>
        <w:ind w:left="720"/>
      </w:pPr>
      <w:r/>
      <w:hyperlink r:id="rId15">
        <w:r>
          <w:rPr>
            <w:color w:val="0000EE"/>
            <w:u w:val="single"/>
          </w:rPr>
          <w:t>https://za.investing.com/news/stock-market-news/tullow-oil-completes-refinancing-transaction-93CH-4234704</w:t>
        </w:r>
      </w:hyperlink>
      <w:r>
        <w:t xml:space="preserve"> - Tullow Oil plc announced the completion of its refinancing transaction, which involved redeeming $100 million of existing notes at par plus accrued interest and releasing the remaining existing notes. The company issued approximately $1.185 billion in senior secured notes due 2028 and approximately $423 million in junior secured notes. Tullow also entered into a $100 million super senior cargo prepayment facility and issued $25 million in additional notes to Glencore through a private placement. The transaction received support from over 99% of bondholders and Glencore. CEO Ian Perks stated that by extending maturities and reducing cash interest payments, the company has secured the financial foundation to execute its business plan and capture the full potential of its assets.</w:t>
      </w:r>
      <w:r/>
    </w:p>
    <w:p>
      <w:pPr>
        <w:pStyle w:val="ListNumber"/>
        <w:spacing w:line="240" w:lineRule="auto"/>
        <w:ind w:left="720"/>
      </w:pPr>
      <w:r/>
      <w:hyperlink r:id="rId13">
        <w:r>
          <w:rPr>
            <w:color w:val="0000EE"/>
            <w:u w:val="single"/>
          </w:rPr>
          <w:t>https://uk.advfn.com/market-news/article/11970/tullow-oil-plc-agrees-landmark-refinancing-with-noteholders-and-glencore</w:t>
        </w:r>
      </w:hyperlink>
      <w:r>
        <w:t xml:space="preserve"> - Tullow Oil plc has reached agreement on a refinancing with approximately two-thirds of its senior secured noteholders and Glencore, reshaping its debt profile and extending maturities. The transaction replaces the company's 2026 senior secured notes with new 'Extended Notes' due in November 2028, alongside new junior notes issued to Glencore maturing in 2030. The refinancing reduces near-term refinancing pressure, lowers overall cash interest costs, and avoids equity dilution. It also introduces enhanced creditor oversight, including the appointment of at least three new independent non-executive directors and the creation of a dedicated value maximisation committee at board level. As part of the package, $1.285 billion of existing senior secured notes and Glencore's $400 million facility will be written down and exchanged.</w:t>
      </w:r>
      <w:r/>
    </w:p>
    <w:p>
      <w:pPr>
        <w:pStyle w:val="ListNumber"/>
        <w:spacing w:line="240" w:lineRule="auto"/>
        <w:ind w:left="720"/>
      </w:pPr>
      <w:r/>
      <w:hyperlink r:id="rId14">
        <w:r>
          <w:rPr>
            <w:color w:val="0000EE"/>
            <w:u w:val="single"/>
          </w:rPr>
          <w:t>https://oilprice.com/Latest-Energy-News/World-News/Tullow-Oil-Strikes-Major-Refinancing-Deal-with-Glencore.amp.html</w:t>
        </w:r>
      </w:hyperlink>
      <w:r>
        <w:t xml:space="preserve"> - Tullow Oil, a London-listed firm focused on oil and gas developments in Africa, has extended debt maturities by two and a half years in a major refinancing agreement with the holders of two-thirds of senior notes and with mining and commodity giant Glencore. Tullow Oil announced it had entered into a binding Lock-Up Agreement to implement a refinancing transaction with holders of about 66% of its $1.28 billion in senior secured notes due May 2026, as well as with Glencore. The refinancing transaction releases its Senior Secured Notes and issues new Extended Notes with a maturity increased by over two years to November 2028. The deal reduces total cash interest and provides a stable platform for Tullow Oil to deliver its investment program and realize the full value of its assets to support a longer-term refinancing and/or explore asset value maximization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galdesire.com/linklaters-advises-glencore-on-the-refinancing-of-tullow-oils-debt/" TargetMode="External"/><Relationship Id="rId10" Type="http://schemas.openxmlformats.org/officeDocument/2006/relationships/hyperlink" Target="https://www.linklaters.com/about-us/news-and-deals/deals/2026/april/linklaters-advises-glencore-on-the-refinancing-of-tullow-oil" TargetMode="External"/><Relationship Id="rId11" Type="http://schemas.openxmlformats.org/officeDocument/2006/relationships/hyperlink" Target="https://www.tullowoil.com/media/press-releases/tullow-announces-refinancing-transaction-and-lock-agreement-c66-its-noteholders-and-glencore/" TargetMode="External"/><Relationship Id="rId12" Type="http://schemas.openxmlformats.org/officeDocument/2006/relationships/hyperlink" Target="https://www.marketscreener.com/news/tullow-oil-plc-completes-refinancing-transaction-by-issuing-1-185-million-senior-secured-notes-due-ce7f59d2d980f62c" TargetMode="External"/><Relationship Id="rId13" Type="http://schemas.openxmlformats.org/officeDocument/2006/relationships/hyperlink" Target="https://uk.advfn.com/market-news/article/11970/tullow-oil-plc-agrees-landmark-refinancing-with-noteholders-and-glencore" TargetMode="External"/><Relationship Id="rId14" Type="http://schemas.openxmlformats.org/officeDocument/2006/relationships/hyperlink" Target="https://oilprice.com/Latest-Energy-News/World-News/Tullow-Oil-Strikes-Major-Refinancing-Deal-with-Glencore.amp.html" TargetMode="External"/><Relationship Id="rId15" Type="http://schemas.openxmlformats.org/officeDocument/2006/relationships/hyperlink" Target="https://za.investing.com/news/stock-market-news/tullow-oil-completes-refinancing-transaction-93CH-423470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