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UAE's exit from OPEC sparks energy market shake-up amidst ongoing global uncertainty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Markets ended the week with a patchwork of gains and losses, but the most striking development was in energy, where prices and equities were buoyed by the United Arab Emirates’ exit from OPEC, a move that Axios said takes effect on May 1 and removes the cartel’s third-largest producer. The shift has raised fresh questions about how much influence the group can still exert over supply and pricing, especially as the energy transition weakens the long-term case for coordinated output restraint.</w:t>
      </w:r>
      <w:r/>
    </w:p>
    <w:p>
      <w:r/>
      <w:r>
        <w:t>The latest policy moves from central banks added to the sense of uncertainty. According to the Bank of Canada, the key rate remained at 2.25% on April 29, with policymakers saying the next decision is due on June 10. The central bank’s caution reflects an economy still dealing with a fragile outlook, while the institution’s mandate remains focused on keeping inflation low, stable and predictable.</w:t>
      </w:r>
      <w:r/>
    </w:p>
    <w:p>
      <w:r/>
      <w:r>
        <w:t>The broader market backdrop was mixed. Energy led sector performance, while consumer staples and financials also advanced, but materials fell sharply and real estate weakened. The S&amp;P 500 finished the week higher, as did the TSX, though only modestly, and the Canadian dollar remained below the mid-74 US cent mark. For investors, the combination of geopolitical risk, shifting oil politics and uncertain rate guidance helped explain why conviction remained limited.</w:t>
      </w:r>
      <w:r/>
    </w:p>
    <w:p>
      <w:r/>
      <w:r>
        <w:t>That is the context for 5i Research’s latest weekly selection of notable reading, which it framed as a guide to the forces shaping markets rather than a simple news digest. The firm’s note pointed to a week in which policy makers, producers and investors were all adjusting to a world that looks less predictable than it did only a few months ago.</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Paragraph 4: </w:t>
      </w:r>
      <w:hyperlink r:id="rId9">
        <w:r>
          <w:rPr>
            <w:color w:val="0000EE"/>
            <w:u w:val="single"/>
          </w:rPr>
          <w:t>[1]</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https://www.5iresearch.ca/blog/5-from-5i-the-financial-crisis-that-didnt-happen</w:t>
        </w:r>
      </w:hyperlink>
      <w:r>
        <w:t xml:space="preserve"> - Please view link - unable to able to access data</w:t>
      </w:r>
      <w:r/>
    </w:p>
    <w:p>
      <w:pPr>
        <w:pStyle w:val="ListNumber"/>
        <w:spacing w:line="240" w:lineRule="auto"/>
        <w:ind w:left="720"/>
      </w:pPr>
      <w:r/>
      <w:hyperlink r:id="rId10">
        <w:r>
          <w:rPr>
            <w:color w:val="0000EE"/>
            <w:u w:val="single"/>
          </w:rPr>
          <w:t>https://www.axios.com/2026/04/29/uae-quits-opec-takeaways</w:t>
        </w:r>
      </w:hyperlink>
      <w:r>
        <w:t xml:space="preserve"> - The United Arab Emirates (UAE) has announced its departure from OPEC, effective May 1, 2026. As the third-largest producer within the cartel, this move significantly diminishes OPEC's ability to regulate oil supply and influence global prices. The UAE cited its long-term strategic and economic goals, along with a shift towards increased domestic energy investment, as reasons for the exit. Analysts suggest that this decision reflects changing incentives in a world where oil demand is nearing its peak due to energy transition trends. (</w:t>
      </w:r>
      <w:hyperlink r:id="rId15">
        <w:r>
          <w:rPr>
            <w:color w:val="0000EE"/>
            <w:u w:val="single"/>
          </w:rPr>
          <w:t>axios.com</w:t>
        </w:r>
      </w:hyperlink>
      <w:r>
        <w:t>)</w:t>
      </w:r>
      <w:r/>
    </w:p>
    <w:p>
      <w:pPr>
        <w:pStyle w:val="ListNumber"/>
        <w:spacing w:line="240" w:lineRule="auto"/>
        <w:ind w:left="720"/>
      </w:pPr>
      <w:r/>
      <w:hyperlink r:id="rId12">
        <w:r>
          <w:rPr>
            <w:color w:val="0000EE"/>
            <w:u w:val="single"/>
          </w:rPr>
          <w:t>https://www.bankofcanada.ca/core-functions/monetary-policy/key-interest-rate/</w:t>
        </w:r>
      </w:hyperlink>
      <w:r>
        <w:t xml:space="preserve"> - The Bank of Canada has maintained its key interest rate at 2.25% as of April 29, 2026. This decision reflects the Bank's assessment of current economic conditions and its commitment to achieving the inflation target. The next scheduled interest rate announcement is on June 10, 2026. (</w:t>
      </w:r>
      <w:hyperlink r:id="rId16">
        <w:r>
          <w:rPr>
            <w:color w:val="0000EE"/>
            <w:u w:val="single"/>
          </w:rPr>
          <w:t>bankofcanada.ca</w:t>
        </w:r>
      </w:hyperlink>
      <w:r>
        <w:t>)</w:t>
      </w:r>
      <w:r/>
    </w:p>
    <w:p>
      <w:pPr>
        <w:pStyle w:val="ListNumber"/>
        <w:spacing w:line="240" w:lineRule="auto"/>
        <w:ind w:left="720"/>
      </w:pPr>
      <w:r/>
      <w:hyperlink r:id="rId13">
        <w:r>
          <w:rPr>
            <w:color w:val="0000EE"/>
            <w:u w:val="single"/>
          </w:rPr>
          <w:t>https://www.bankofcanada.ca/</w:t>
        </w:r>
      </w:hyperlink>
      <w:r>
        <w:t xml:space="preserve"> - The Bank of Canada is the nation's central bank, responsible for formulating and implementing monetary policy. Its primary objective is to preserve the value of money by keeping inflation low, stable, and predictable. The Bank also plays a key role in promoting a safe and efficient financial system. (</w:t>
      </w:r>
      <w:hyperlink r:id="rId17">
        <w:r>
          <w:rPr>
            <w:color w:val="0000EE"/>
            <w:u w:val="single"/>
          </w:rPr>
          <w:t>bankofcanada.ca</w:t>
        </w:r>
      </w:hyperlink>
      <w:r>
        <w:t>)</w:t>
      </w:r>
      <w:r/>
    </w:p>
    <w:p>
      <w:pPr>
        <w:pStyle w:val="ListNumber"/>
        <w:spacing w:line="240" w:lineRule="auto"/>
        <w:ind w:left="720"/>
      </w:pPr>
      <w:r/>
      <w:hyperlink r:id="rId18">
        <w:r>
          <w:rPr>
            <w:color w:val="0000EE"/>
            <w:u w:val="single"/>
          </w:rPr>
          <w:t>https://www.youtube.com/watch?v=fOxt00PTFEM</w:t>
        </w:r>
      </w:hyperlink>
      <w:r>
        <w:t xml:space="preserve"> - This video reports on the Bank of Canada's decision to keep its key interest rate unchanged at 2.25% as of December 10, 2025. The Bank indicates that this rate is appropriate to balance keeping inflation and economic growth in check. The decision follows recent surprises in GDP and job gains, with market expectations suggesting no further rate changes in the near term.</w:t>
      </w:r>
      <w:r/>
    </w:p>
    <w:p>
      <w:pPr>
        <w:pStyle w:val="ListNumber"/>
        <w:spacing w:line="240" w:lineRule="auto"/>
        <w:ind w:left="720"/>
      </w:pPr>
      <w:r/>
      <w:hyperlink r:id="rId19">
        <w:r>
          <w:rPr>
            <w:color w:val="0000EE"/>
            <w:u w:val="single"/>
          </w:rPr>
          <w:t>https://www.youtube.com/watch?v=axb86GCaeCI</w:t>
        </w:r>
      </w:hyperlink>
      <w:r>
        <w:t xml:space="preserve"> - This video covers the Bank of Canada's decision to hold its benchmark interest rate steady at 2.25% in a soft economy, as announced on January 28, 2026. The central bank forecasts a gradual economic recovery from the U.S. tariff shock. Economists had widely expected the hold, and the Bank's governor, Tiff Macklem, noted that uncertainty remains unusually high, particularly around geopolitical risks and the upcoming review of the Canada-U.S.-Mexico agreement.</w:t>
      </w:r>
      <w:r/>
    </w:p>
    <w:p>
      <w:pPr>
        <w:pStyle w:val="ListNumber"/>
        <w:spacing w:line="240" w:lineRule="auto"/>
        <w:ind w:left="720"/>
      </w:pPr>
      <w:r/>
      <w:hyperlink r:id="rId11">
        <w:r>
          <w:rPr>
            <w:color w:val="0000EE"/>
            <w:u w:val="single"/>
          </w:rPr>
          <w:t>https://www.axios.com/2026/05/02/gulf-countries-saudi-uae-investments-war</w:t>
        </w:r>
      </w:hyperlink>
      <w:r>
        <w:t xml:space="preserve"> - In 2026, the Gulf region faced significant challenges, marked by the UAE's departure from OPEC and Saudi Arabia ending its investment in LIV Golf. These developments indicate financial caution amid declining oil revenues and geopolitical tensions, particularly the war with Iran. The UAE's exit from OPEC reflects its aim to independently manage its oil production and align more closely with U.S. energy policies. (</w:t>
      </w:r>
      <w:hyperlink r:id="rId20">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5iresearch.ca/blog/5-from-5i-the-financial-crisis-that-didnt-happen" TargetMode="External"/><Relationship Id="rId10" Type="http://schemas.openxmlformats.org/officeDocument/2006/relationships/hyperlink" Target="https://www.axios.com/2026/04/29/uae-quits-opec-takeaways" TargetMode="External"/><Relationship Id="rId11" Type="http://schemas.openxmlformats.org/officeDocument/2006/relationships/hyperlink" Target="https://www.axios.com/2026/05/02/gulf-countries-saudi-uae-investments-war" TargetMode="External"/><Relationship Id="rId12" Type="http://schemas.openxmlformats.org/officeDocument/2006/relationships/hyperlink" Target="https://www.bankofcanada.ca/core-functions/monetary-policy/key-interest-rate/" TargetMode="External"/><Relationship Id="rId13" Type="http://schemas.openxmlformats.org/officeDocument/2006/relationships/hyperlink" Target="https://www.bankofcanada.ca/" TargetMode="External"/><Relationship Id="rId14" Type="http://schemas.openxmlformats.org/officeDocument/2006/relationships/hyperlink" Target="https://www.noahwire.com" TargetMode="External"/><Relationship Id="rId15" Type="http://schemas.openxmlformats.org/officeDocument/2006/relationships/hyperlink" Target="https://www.axios.com/2026/04/29/uae-quits-opec-takeaways?utm_source=openai" TargetMode="External"/><Relationship Id="rId16" Type="http://schemas.openxmlformats.org/officeDocument/2006/relationships/hyperlink" Target="https://www.bankofcanada.ca/core-functions/monetary-policy/key-interest-rate/?utm_source=openai" TargetMode="External"/><Relationship Id="rId17" Type="http://schemas.openxmlformats.org/officeDocument/2006/relationships/hyperlink" Target="https://www.bankofcanada.ca/?utm_source=openai" TargetMode="External"/><Relationship Id="rId18" Type="http://schemas.openxmlformats.org/officeDocument/2006/relationships/hyperlink" Target="https://www.youtube.com/watch?v=fOxt00PTFEM" TargetMode="External"/><Relationship Id="rId19" Type="http://schemas.openxmlformats.org/officeDocument/2006/relationships/hyperlink" Target="https://www.youtube.com/watch?v=axb86GCaeCI" TargetMode="External"/><Relationship Id="rId20" Type="http://schemas.openxmlformats.org/officeDocument/2006/relationships/hyperlink" Target="https://www.axios.com/2026/05/02/gulf-countries-saudi-uae-investments-wa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