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Federated Hermes boosts dividends and expands private market presence amid leadership reshuffle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Federated Hermes used its annual shareholder meeting on Saturday to underline both the scale of its business and a broader reshuffle at the top of the firm, while investors backed every item on the ballot, including a fuller stock incentive plan and the election of the board slate. The meeting also came with a higher quarterly dividend, reinforcing a long record of distributions as the asset manager continues to lean on money-market strength and growth in alternatives.</w:t>
      </w:r>
      <w:r/>
    </w:p>
    <w:p>
      <w:r/>
      <w:r>
        <w:t>According to the company, shareholders re-elected six directors and approved an amendment to the stock incentive plan that adds 5 million Class B shares to the reserve. At the same time, the board lifted the quarterly payout to $0.38 a share from $0.34, payable on May 15 to holders of record on May 8. The vote followed a separate board decision last month to trim the annual unrestricted share grant for independent directors from 2,400 shares to 2,000, a change filed with the Securities and Exchange Commission.</w:t>
      </w:r>
      <w:r/>
    </w:p>
    <w:p>
      <w:r/>
      <w:r>
        <w:t>Leadership changes were also a central part of the gathering. J. Christopher Donahue said John B. Fisher would move to chairman of Federated Advisory Companies, while Paul Uhlman was set to take over Fisher’s role as president and chief executive of that unit. Bryan Burke is due to succeed Uhlman as president of Federated Securities Corp. Donahue thanked Fisher for decades of service to the firm, and the company’s leadership page lists the executives involved in the transition.</w:t>
      </w:r>
      <w:r/>
    </w:p>
    <w:p>
      <w:r/>
      <w:r>
        <w:t>The update also provided a snapshot of trading conditions in the opening months of 2026. Federated Hermes said total managed assets reached a record $907 billion in the first quarter, with money-market assets at $685 billion and equity assets at $101 billion. Separate account assets also hit a record $288 billion. The company said the figures were helped by higher money-market balances and inflows into equity strategies.</w:t>
      </w:r>
      <w:r/>
    </w:p>
    <w:p>
      <w:r/>
      <w:r>
        <w:t>Donahue also pointed to the acquisition completed on 9 April of a majority stake in FCP Fund Manager, a privately held US real estate investment manager with more than $3 billion of client assets. Federated Hermes said the deal broadens its property presence in major American markets and supports a push into private markets, where it now includes private equity, private credit, real estate, infrastructure and long/short strategies. The firm said its private-market push is part of a wider diversification effort that helped it post a 59% rise in 2025 earnings per share to $5.13, along with revenue growth of 10% and almost $5 billion in positive net equity sales.</w:t>
      </w:r>
      <w:r/>
    </w:p>
    <w:p>
      <w:r/>
      <w:r>
        <w:t>For full-year 2025, the company said it returned $1.33 a share in four quarterly dividends and reached 112 straight quarterly payments by year-end. It also cited launches of two exchange-traded funds and two collective investment trusts, a majority investment in UK renewable energy project developer Rivington Energy Management, and new responsibility for the Commonwealth of Pennsylvania’s treasury pool for local government bodies and non-profits. The meeting ended without any shareholder questions.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[3]</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https://www.marketbeat.com/instant-alerts/federated-hermes-agm-directors-elected-stock-plan-expanded-dividend-raised-to-038-2026-05-02/</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https://www.marketbeat.com/instant-alerts/federated-hermes-agm-directors-elected-stock-plan-expanded-dividend-raised-to-038-2026-05-02/</w:t>
        </w:r>
      </w:hyperlink>
      <w:r>
        <w:t xml:space="preserve"> - Federated Hermes held its annual shareholder meeting on May 2, 2026, where shareholders re-elected directors, approved an amendment to the stock incentive plan to reserve an additional 5 million shares of Class B common stock, and declared a quarterly dividend of $0.38 per share, up from $0.34, payable on May 15 to shareholders of record on May 8, 2026. The company reported record Q1 2026 total managed assets of $907 billion, including $685 billion in money market assets and $101 billion in equity assets. Additionally, Federated Hermes completed a majority investment in FCP Fund Manager, L.P., a privately held U.S. real estate investment manager with client assets exceeding $3 billion, aiming to expand its real estate footprint into major U.S. markets and support its efforts in private markets and alternatives. The company also highlighted its 2025 achievements, including a 59% increase in earnings per share to $5.13, revenue growth of 10%, and positive net equity sales approaching $5 billion. Furthermore, Federated Hermes launched two ETFs and two collective investment trusts, began managing the Commonwealth of Pennsylvania’s treasury pool for local government entities and nonprofit organizations, and ended 2025 with $19 billion in alternative and private market assets. The meeting concluded without any shareholder questions.</w:t>
      </w:r>
      <w:r/>
    </w:p>
    <w:p>
      <w:pPr>
        <w:pStyle w:val="ListNumber"/>
        <w:spacing w:line="240" w:lineRule="auto"/>
        <w:ind w:left="720"/>
      </w:pPr>
      <w:r/>
      <w:hyperlink r:id="rId14">
        <w:r>
          <w:rPr>
            <w:color w:val="0000EE"/>
            <w:u w:val="single"/>
          </w:rPr>
          <w:t>https://www.nasdaq.com/press-release/federated-hermes-premier-municipal-income-fund-declares-dividend-2026-04-10</w:t>
        </w:r>
      </w:hyperlink>
      <w:r>
        <w:t xml:space="preserve"> - On April 10, 2026, Federated Hermes Premier Municipal Income Fund declared a tax-free dividend of $0.0450 per share, with a record date and ex-dividend date of April 23, 2026, and a payable date of May 1, 2026. The fund seeks to provide investors with current dividend income exempt from regular federal income tax and the federal alternative minimum tax (AMT). Additionally, on April 2, 2026, the fund redeemed 200 Variable Municipal Term Preferred Shares (VMTPS), reducing its outstanding leverage. As of December 31, 2025, Federated Hermes, Inc. had $902.6 billion in assets under management.</w:t>
      </w:r>
      <w:r/>
    </w:p>
    <w:p>
      <w:pPr>
        <w:pStyle w:val="ListNumber"/>
        <w:spacing w:line="240" w:lineRule="auto"/>
        <w:ind w:left="720"/>
      </w:pPr>
      <w:r/>
      <w:hyperlink r:id="rId11">
        <w:r>
          <w:rPr>
            <w:color w:val="0000EE"/>
            <w:u w:val="single"/>
          </w:rPr>
          <w:t>https://www.sec.gov/Archives/edgar/data/1056288/000105628826000018/fhi-20260331.htm</w:t>
        </w:r>
      </w:hyperlink>
      <w:r>
        <w:t xml:space="preserve"> - On April 30, 2026, the Board of Directors of Federated Hermes approved adjusting the number of unrestricted shares of Class B Common Stock annually granted to independent directors under the Federated Hermes, Inc. Stock Incentive Plan from 2,400 shares to 2,000 shares, effective immediately. This change means that independent directors will receive 2,000 shares of unrestricted Class B Common Stock annually for their service as directors, in addition to other compensation components.</w:t>
      </w:r>
      <w:r/>
    </w:p>
    <w:p>
      <w:pPr>
        <w:pStyle w:val="ListNumber"/>
        <w:spacing w:line="240" w:lineRule="auto"/>
        <w:ind w:left="720"/>
      </w:pPr>
      <w:r/>
      <w:hyperlink r:id="rId10">
        <w:r>
          <w:rPr>
            <w:color w:val="0000EE"/>
            <w:u w:val="single"/>
          </w:rPr>
          <w:t>https://www.federatedhermes.com/us/about.do</w:t>
        </w:r>
      </w:hyperlink>
      <w:r>
        <w:t xml:space="preserve"> - Federated Hermes, Inc. is a leading global asset manager established in 1955, with total assets under management of $902.6 billion. The company offers specialized investment capabilities across a wide range of asset classes, guided by the conviction that responsible investing is the best way to create wealth over the long term. Federated Hermes provides investors around the world with active strategies across equity, fixed income, multi-asset, liquidity, and alternative investments.</w:t>
      </w:r>
      <w:r/>
    </w:p>
    <w:p>
      <w:pPr>
        <w:pStyle w:val="ListNumber"/>
        <w:spacing w:line="240" w:lineRule="auto"/>
        <w:ind w:left="720"/>
      </w:pPr>
      <w:r/>
      <w:hyperlink r:id="rId12">
        <w:r>
          <w:rPr>
            <w:color w:val="0000EE"/>
            <w:u w:val="single"/>
          </w:rPr>
          <w:t>https://www.federatedhermes.com/us/about/teams/officers-and-directors.do</w:t>
        </w:r>
      </w:hyperlink>
      <w:r>
        <w:t xml:space="preserve"> - Federated Hermes' executive leadership includes J. Christopher Donahue as President and Chief Executive Officer, Joseph Bartolacci as Director, Karen Hanlon as Director, Thomas R. Donahue as Chief Financial Officer, and John B. Fisher as President and Chief Executive Officer of Federated Advisory Companies. Additionally, Paul Uhlman serves as President of Federated Securities Corp. and Vice President of Federated Hermes, Inc.</w:t>
      </w:r>
      <w:r/>
    </w:p>
    <w:p>
      <w:pPr>
        <w:pStyle w:val="ListNumber"/>
        <w:spacing w:line="240" w:lineRule="auto"/>
        <w:ind w:left="720"/>
      </w:pPr>
      <w:r/>
      <w:hyperlink r:id="rId13">
        <w:r>
          <w:rPr>
            <w:color w:val="0000EE"/>
            <w:u w:val="single"/>
          </w:rPr>
          <w:t>https://www.nasdaq.com/press-release/federated-hermes-inc-announces-changes-investment-and-distribution-executive</w:t>
        </w:r>
      </w:hyperlink>
      <w:r>
        <w:t xml:space="preserve"> - On December 2, 2025, Federated Hermes, Inc. announced executive leadership appointments effective April 30, 2026. Paul Uhlman will become President and Chief Executive Officer of the Federated Advisory Companies, succeeding John Fisher, who will transition to Chairman of the Federated Advisory Companies. Uhlman, who joined the firm in 1990, will oversee all investment teams globally while remaining a Vice President and executive officer of Federated Hermes, Inc. Bryan Burke will succeed Uhlman as President of Federated Securities Corp., leading global sales efforts and becoming a Vice President and executive officer.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ederated-hermes-agm-directors-elected-stock-plan-expanded-dividend-raised-to-038-2026-05-02/" TargetMode="External"/><Relationship Id="rId10" Type="http://schemas.openxmlformats.org/officeDocument/2006/relationships/hyperlink" Target="https://www.federatedhermes.com/us/about.do" TargetMode="External"/><Relationship Id="rId11" Type="http://schemas.openxmlformats.org/officeDocument/2006/relationships/hyperlink" Target="https://www.sec.gov/Archives/edgar/data/1056288/000105628826000018/fhi-20260331.htm" TargetMode="External"/><Relationship Id="rId12" Type="http://schemas.openxmlformats.org/officeDocument/2006/relationships/hyperlink" Target="https://www.federatedhermes.com/us/about/teams/officers-and-directors.do" TargetMode="External"/><Relationship Id="rId13" Type="http://schemas.openxmlformats.org/officeDocument/2006/relationships/hyperlink" Target="https://www.nasdaq.com/press-release/federated-hermes-inc-announces-changes-investment-and-distribution-executive" TargetMode="External"/><Relationship Id="rId14" Type="http://schemas.openxmlformats.org/officeDocument/2006/relationships/hyperlink" Target="https://www.nasdaq.com/press-release/federated-hermes-premier-municipal-income-fund-declares-dividend-2026-04-1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