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shares climb amid central bank pauses and Middle East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Global shares extended their advance on Thursday as traders digested a mix of corporate results, central bank signals and renewed tension in the Middle East. In London, the FTSE 100 climbed 1.6%, while the FTSE 250 and AIM also finished firmer, helped by gains in heavyweight industrial and utility stocks.</w:t>
      </w:r>
      <w:r/>
    </w:p>
    <w:p>
      <w:r/>
      <w:r>
        <w:t>The Bank of England held Bank Rate at 3.75% after an eight-to-one vote, with chief economist Huw Pill backing a quarter-point increase instead. In its April monetary policy report, the central bank set out three scenarios for the UK economy, all of which pointed to higher near-term inflation than it had projected in February, as policymakers weighed the risk that an energy shock could feed through into wages and prices. Governor Andrew Bailey said the next move would depend on how severe and how long the energy disruption proves to be.</w:t>
      </w:r>
      <w:r/>
    </w:p>
    <w:p>
      <w:r/>
      <w:r>
        <w:t>In Europe, the European Central Bank also kept policy unchanged, but Christine Lagarde made clear that officials had discussed a rise before settling on a pause. She said the governing council was trying to avoid moving too soon or too late, and declined to rule out a June increase, telling reporters that six weeks would be the right interval to judge progress. Earlier ECB hikes in 2023 had lifted rates to their highest level in more than two decades, underlining how determined policymakers remain to push inflation back to target.</w:t>
      </w:r>
      <w:r/>
    </w:p>
    <w:p>
      <w:r/>
      <w:r>
        <w:t>Wall Street was broadly higher too, though technology shares moved unevenly. Alphabet surged after stronger-than-expected results from its cloud business, while Meta fell sharply as investors bristled at another rise in capital spending. Treasury yields were little changed, sterling strengthened against both the dollar and the euro, and gold advanced as investors kept one eye on the risk that the conflict in the Middle East could unsettle energy markets further.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https://www.independent.co.uk/news/business/bank-of-england-christine-lagarde-andrew-bailey-alphabet-monetary-policy-committee-b2968291.html</w:t>
        </w:r>
      </w:hyperlink>
      <w:r>
        <w:t xml:space="preserve"> - Please view link - unable to able to access data</w:t>
      </w:r>
      <w:r/>
    </w:p>
    <w:p>
      <w:pPr>
        <w:pStyle w:val="ListNumber"/>
        <w:spacing w:line="240" w:lineRule="auto"/>
        <w:ind w:left="720"/>
      </w:pPr>
      <w:r/>
      <w:hyperlink r:id="rId10">
        <w:r>
          <w:rPr>
            <w:color w:val="0000EE"/>
            <w:u w:val="single"/>
          </w:rPr>
          <w:t>https://www.bankofengland.co.uk/monetary-policy-summary-and-minutes/2026/april-2026</w:t>
        </w:r>
      </w:hyperlink>
      <w:r>
        <w:t xml:space="preserve"> - In April 2026, the Bank of England's Monetary Policy Committee maintained the Bank Rate at 3.75%. The decision was influenced by various economic factors, including developments in the Middle East and energy price shocks. The Committee outlined three scenarios to assess potential outcomes for the UK economy, considering different paths for energy prices and their impact on domestic inflation and wages. Governor Andrew Bailey emphasized that future monetary policy decisions would depend on the size and duration of energy price shocks.</w:t>
      </w:r>
      <w:r/>
    </w:p>
    <w:p>
      <w:pPr>
        <w:pStyle w:val="ListNumber"/>
        <w:spacing w:line="240" w:lineRule="auto"/>
        <w:ind w:left="720"/>
      </w:pPr>
      <w:r/>
      <w:hyperlink r:id="rId11">
        <w:r>
          <w:rPr>
            <w:color w:val="0000EE"/>
            <w:u w:val="single"/>
          </w:rPr>
          <w:t>https://www.theguardian.com/business/2023/jun/15/european-central-bank-raises-interest-rates-quarter-of-a-point-to-tame-inflation</w:t>
        </w:r>
      </w:hyperlink>
      <w:r>
        <w:t xml:space="preserve"> - On 15 June 2023, the European Central Bank (ECB) raised eurozone interest rates by a quarter-percentage point, marking the eighth consecutive increase aimed at controlling inflation. This move brought rates to their highest level since 2001. ECB President Christine Lagarde indicated that further rate hikes were likely, highlighting the ongoing struggle to manage inflation amid economic challenges.</w:t>
      </w:r>
      <w:r/>
    </w:p>
    <w:p>
      <w:pPr>
        <w:pStyle w:val="ListNumber"/>
        <w:spacing w:line="240" w:lineRule="auto"/>
        <w:ind w:left="720"/>
      </w:pPr>
      <w:r/>
      <w:hyperlink r:id="rId12">
        <w:r>
          <w:rPr>
            <w:color w:val="0000EE"/>
            <w:u w:val="single"/>
          </w:rPr>
          <w:t>https://www.euronews.com/business/2023/07/27/the-european-central-bank-raises-its-benchmark-rate-by-025-its-highest-level-since-may-200</w:t>
        </w:r>
      </w:hyperlink>
      <w:r>
        <w:t xml:space="preserve"> - On 27 July 2023, the European Central Bank (ECB) increased its benchmark interest rate by 25 basis points, reaching its highest level since May 2000. This decision marked the ninth consecutive rate hike, reflecting the ECB's commitment to combating persistent inflation. President Christine Lagarde noted that the Governing Council maintained an open mind regarding future decisions, indicating potential for further tightening.</w:t>
      </w:r>
      <w:r/>
    </w:p>
    <w:p>
      <w:pPr>
        <w:pStyle w:val="ListNumber"/>
        <w:spacing w:line="240" w:lineRule="auto"/>
        <w:ind w:left="720"/>
      </w:pPr>
      <w:r/>
      <w:hyperlink r:id="rId13">
        <w:r>
          <w:rPr>
            <w:color w:val="0000EE"/>
            <w:u w:val="single"/>
          </w:rPr>
          <w:t>https://www.centralbanking.com/central-banks/monetary-policy/monetary-policy-decisions/7959036/ecb-raises-rates-again-and-signals-more-tightening</w:t>
        </w:r>
      </w:hyperlink>
      <w:r>
        <w:t xml:space="preserve"> - On 15 June 2023, the European Central Bank (ECB) raised interest rates by 25 basis points, bringing the main refinancing operations rate to 4%, the marginal lending facility to 4.25%, and the deposit facility to 3.5%. This decision was influenced by a tight labour market and unexpected core inflation, leading to higher forecasts. ECB President Christine Lagarde confirmed that a rate hike in July was almost certain.</w:t>
      </w:r>
      <w:r/>
    </w:p>
    <w:p>
      <w:pPr>
        <w:pStyle w:val="ListNumber"/>
        <w:spacing w:line="240" w:lineRule="auto"/>
        <w:ind w:left="720"/>
      </w:pPr>
      <w:r/>
      <w:hyperlink r:id="rId14">
        <w:r>
          <w:rPr>
            <w:color w:val="0000EE"/>
            <w:u w:val="single"/>
          </w:rPr>
          <w:t>https://english.news.cn/20230615/28a6aefe030247e6aabff138ba67572a/c.html</w:t>
        </w:r>
      </w:hyperlink>
      <w:r>
        <w:t xml:space="preserve"> - On 15 June 2023, the European Central Bank (ECB) announced a 25 basis point increase in key interest rates, continuing its series of rate hikes aimed at curbing inflation. The main refinancing operations rate rose to 4%, the marginal lending facility to 4.25%, and the deposit facility to 3.5%. President Christine Lagarde emphasized the ECB's determination to return inflation to the 2% medium-term target.</w:t>
      </w:r>
      <w:r/>
    </w:p>
    <w:p>
      <w:pPr>
        <w:pStyle w:val="ListNumber"/>
        <w:spacing w:line="240" w:lineRule="auto"/>
        <w:ind w:left="720"/>
      </w:pPr>
      <w:r/>
      <w:hyperlink r:id="rId15">
        <w:r>
          <w:rPr>
            <w:color w:val="0000EE"/>
            <w:u w:val="single"/>
          </w:rPr>
          <w:t>https://www.thedailystar.net/business/global-economy/news/ecb-hikes-rates-22-year-high-3347501</w:t>
        </w:r>
      </w:hyperlink>
      <w:r>
        <w:t xml:space="preserve"> - On 15 June 2023, the European Central Bank (ECB) increased interest rates to a 22-year high, with the deposit rate reaching 3.5%. This decision was part of the ECB's ongoing efforts to combat inflation, despite concerns about the eurozone economy. President Christine Lagarde indicated that another rate increase in July was 'very likely', highlighting the ECB's commitment to addressing inflationary pressures.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bank-of-england-christine-lagarde-andrew-bailey-alphabet-monetary-policy-committee-b2968291.html" TargetMode="External"/><Relationship Id="rId10" Type="http://schemas.openxmlformats.org/officeDocument/2006/relationships/hyperlink" Target="https://www.bankofengland.co.uk/monetary-policy-summary-and-minutes/2026/april-2026" TargetMode="External"/><Relationship Id="rId11" Type="http://schemas.openxmlformats.org/officeDocument/2006/relationships/hyperlink" Target="https://www.theguardian.com/business/2023/jun/15/european-central-bank-raises-interest-rates-quarter-of-a-point-to-tame-inflation" TargetMode="External"/><Relationship Id="rId12" Type="http://schemas.openxmlformats.org/officeDocument/2006/relationships/hyperlink" Target="https://www.euronews.com/business/2023/07/27/the-european-central-bank-raises-its-benchmark-rate-by-025-its-highest-level-since-may-200" TargetMode="External"/><Relationship Id="rId13" Type="http://schemas.openxmlformats.org/officeDocument/2006/relationships/hyperlink" Target="https://www.centralbanking.com/central-banks/monetary-policy/monetary-policy-decisions/7959036/ecb-raises-rates-again-and-signals-more-tightening" TargetMode="External"/><Relationship Id="rId14" Type="http://schemas.openxmlformats.org/officeDocument/2006/relationships/hyperlink" Target="https://english.news.cn/20230615/28a6aefe030247e6aabff138ba67572a/c.html" TargetMode="External"/><Relationship Id="rId15" Type="http://schemas.openxmlformats.org/officeDocument/2006/relationships/hyperlink" Target="https://www.thedailystar.net/business/global-economy/news/ecb-hikes-rates-22-year-high-33475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