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Court’s forthcoming term signals a shift in agency power and civil litigation boundaries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Supreme Court is heading into May 2026 with a docket that is already shaping the legal and commercial landscape well beyond Washington. Recent decisions and pending arguments point to a Court increasingly willing to rein in agency power, sharpen procedural limits and alter the way companies, regulators and plaintiffs approach risk. For lawyers, the message is less about any single ruling than the cumulative effect of a term that could redraw the boundaries of administrative enforcement and civil litigation.</w:t>
      </w:r>
      <w:r/>
    </w:p>
    <w:p>
      <w:r/>
      <w:r>
        <w:t>That shift was underscored in February, when the Court ruled in Learning Resources, Inc. v. Trump that tariffs imposed under the International Emergency Economic Powers Act were not legally authorised. According to KPMG and other legal commentators, the decision had immediate retroactive consequences and raised wider questions about how far presidents can go when invoking emergency powers for trade policy. The ruling also reinforced the Court’s recent appetite for testing executive action against statutory text and broader separation-of-powers concerns.</w:t>
      </w:r>
      <w:r/>
    </w:p>
    <w:p>
      <w:r/>
      <w:r>
        <w:t>Administrative enforcement remains a central pressure point. In January, the Court agreed to hear several disputes involving the Securities and Exchange Commission and the Federal Communications Commission, including questions over whether the SEC must show pecuniary loss to secure disgorgement and whether the FCC can impose civil forfeitures through administrative proceedings. Legal analysts at Venable and DWT say the FCC cases, including Verizon Communications Inc. v. FCC and FCC v. AT&amp;T, Inc., could have major consequences for agency penalty authority and for companies facing monetary sanctions outside ordinary court processes.</w:t>
      </w:r>
      <w:r/>
    </w:p>
    <w:p>
      <w:r/>
      <w:r>
        <w:t>The Court has also continued to issue decisions with immediate practical effects for civil procedure and jurisdiction. On February 25, it resolved Geo Group, Inc. v. Menocal and Hencely v. Fluor Corp., touching on appellate review of collateral orders and the liability of military contractors under the Federal Tort Claims Act. Then in April, the justices decided First Choice Women’s Resource Centers, Inc. v. Davenport, holding that a subpoena seeking donor information created a present injury sufficient for Article III standing. According to Faegre Drinker, the case is significant because it shows how compelled disclosure disputes can quickly become constitutional fights over association and privacy.</w:t>
      </w:r>
      <w:r/>
    </w:p>
    <w:p>
      <w:r/>
      <w:r>
        <w:t>For in-house teams and litigators, the practical implications are broad. A more exacting Court on agency power can embolden challenges to rulemaking and enforcement, while standing rulings and jurisdictional decisions can open or close courthouse doors before any merits battle begins. That combination means regulated businesses in sectors such as health care, finance, energy, technology and labour-intensive industries may need to rethink compliance planning, litigation reserves and discovery strategy at the same time. The common thread, as legal observers note, is that the Court’s current posture is likely to influence agency behaviour, settlement leverage and motion practice long before the term is over.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https://www.legaltechdaily.com/2026/05/supreme-court-signals-a-high-stakes-term-for-administrative-power-and-civil-litigation/</w:t>
        </w:r>
      </w:hyperlink>
      <w:r>
        <w:t xml:space="preserve"> - Please view link - unable to able to access data</w:t>
      </w:r>
      <w:r/>
    </w:p>
    <w:p>
      <w:pPr>
        <w:pStyle w:val="ListNumber"/>
        <w:spacing w:line="240" w:lineRule="auto"/>
        <w:ind w:left="720"/>
      </w:pPr>
      <w:r/>
      <w:hyperlink r:id="rId10">
        <w:r>
          <w:rPr>
            <w:color w:val="0000EE"/>
            <w:u w:val="single"/>
          </w:rPr>
          <w:t>https://www.kpmg.com/us/en/taxnewsflash/news/2026/02/us-supreme-court-presidential-tariffs-exceeded-legal-authority-under-ieepa.html</w:t>
        </w:r>
      </w:hyperlink>
      <w:r>
        <w:t xml:space="preserve"> - In February 2026, the U.S. Supreme Court ruled that tariffs imposed by the President under the International Emergency Economic Powers Act (IEEPA) were not legally authorised. The case, Learning Resources, Inc. v. Trump, addressed the President's authority to impose tariffs under IEEPA. The Court's decision has immediate retroactive effect, impacting existing tariffs and potentially influencing future executive actions related to trade and economic sanctions.</w:t>
      </w:r>
      <w:r/>
    </w:p>
    <w:p>
      <w:pPr>
        <w:pStyle w:val="ListNumber"/>
        <w:spacing w:line="240" w:lineRule="auto"/>
        <w:ind w:left="720"/>
      </w:pPr>
      <w:r/>
      <w:hyperlink r:id="rId12">
        <w:r>
          <w:rPr>
            <w:color w:val="0000EE"/>
            <w:u w:val="single"/>
          </w:rPr>
          <w:t>https://www.venable.com/insights/publications/2026/02/supreme-court-invalidates-ieepa-tariffs-with</w:t>
        </w:r>
      </w:hyperlink>
      <w:r>
        <w:t xml:space="preserve"> - In February 2026, the U.S. Supreme Court invalidated tariffs imposed under the International Emergency Economic Powers Act (IEEPA) in the case of Learning Resources, Inc. v. Trump. The Court's decision, delivered by Chief Justice Roberts, concluded that IEEPA's authority to 'regulate... importation' does not include the power to impose tariffs. This ruling has significant implications for the separation of powers and the application of the 'major questions doctrine' in executive actions.</w:t>
      </w:r>
      <w:r/>
    </w:p>
    <w:p>
      <w:pPr>
        <w:pStyle w:val="ListNumber"/>
        <w:spacing w:line="240" w:lineRule="auto"/>
        <w:ind w:left="720"/>
      </w:pPr>
      <w:r/>
      <w:hyperlink r:id="rId11">
        <w:r>
          <w:rPr>
            <w:color w:val="0000EE"/>
            <w:u w:val="single"/>
          </w:rPr>
          <w:t>https://www.lexology.com/library/detail.aspx?g=e502a2be-2297-4569-920d-5bed65bbe1a6</w:t>
        </w:r>
      </w:hyperlink>
      <w:r>
        <w:t xml:space="preserve"> - In January 2026, the U.S. Supreme Court granted certiorari in three cases to resolve disputes regarding the scope of administrative enforcement powers by the Securities and Exchange Commission (SEC) and the Federal Communications Commission (FCC). The cases aim to clarify whether the SEC needs to show that investors suffered a pecuniary loss to obtain disgorgement in civil enforcement actions and to address the FCC's authority to impose civil forfeitures under constitutional scrutiny.</w:t>
      </w:r>
      <w:r/>
    </w:p>
    <w:p>
      <w:pPr>
        <w:pStyle w:val="ListNumber"/>
        <w:spacing w:line="240" w:lineRule="auto"/>
        <w:ind w:left="720"/>
      </w:pPr>
      <w:r/>
      <w:hyperlink r:id="rId13">
        <w:r>
          <w:rPr>
            <w:color w:val="0000EE"/>
            <w:u w:val="single"/>
          </w:rPr>
          <w:t>https://www.dwt.com/blogs/broadband-advisor/2026/02/supreme-court-review-fcc-penalty-authority</w:t>
        </w:r>
      </w:hyperlink>
      <w:r>
        <w:t xml:space="preserve"> - In February 2026, the U.S. Supreme Court scheduled oral arguments in two consolidated cases challenging the Federal Communications Commission's (FCC) authority to levy civil forfeiture penalties through administrative action. The cases, Verizon Communications Inc. v. FCC and FCC v. AT&amp;T, Inc., address a circuit split over the FCC's power to impose monetary penalties and are expected to have significant implications for administrative enforcement powers.</w:t>
      </w:r>
      <w:r/>
    </w:p>
    <w:p>
      <w:pPr>
        <w:pStyle w:val="ListNumber"/>
        <w:spacing w:line="240" w:lineRule="auto"/>
        <w:ind w:left="720"/>
      </w:pPr>
      <w:r/>
      <w:hyperlink r:id="rId14">
        <w:r>
          <w:rPr>
            <w:color w:val="0000EE"/>
            <w:u w:val="single"/>
          </w:rPr>
          <w:t>https://www.dorsey.com/newsresources/publications/client-alerts/2026/2/feb-25-supreme-court-update</w:t>
        </w:r>
      </w:hyperlink>
      <w:r>
        <w:t xml:space="preserve"> - On February 25, 2026, the U.S. Supreme Court issued decisions in two cases: Geo Group, Inc. v. Menocal and Hencely v. Fluor Corp. The Geo Group case interprets the scope of federal appellate courts' jurisdiction to review collateral orders, while the Hencely case addresses the liability of military contractors for the actions of their employees under the Federal Tort Claims Act.</w:t>
      </w:r>
      <w:r/>
    </w:p>
    <w:p>
      <w:pPr>
        <w:pStyle w:val="ListNumber"/>
        <w:spacing w:line="240" w:lineRule="auto"/>
        <w:ind w:left="720"/>
      </w:pPr>
      <w:r/>
      <w:hyperlink r:id="rId15">
        <w:r>
          <w:rPr>
            <w:color w:val="0000EE"/>
            <w:u w:val="single"/>
          </w:rPr>
          <w:t>https://www.faegredrinker.com/en/insights/publications/2026/4/supreme-court-decides-first-choice-womens-resource-centers-inc-v-davenport</w:t>
        </w:r>
      </w:hyperlink>
      <w:r>
        <w:t xml:space="preserve"> - In April 2026, the U.S. Supreme Court decided First Choice Women's Resource Centers, Inc. v. Davenport, holding that the organization established a present injury to its First Amendment associational rights sufficient to confer Article III standing when the New Jersey Attorney General issued a subpoena seeking personal information about the organization's donors. The case addresses the balance between state interests and First Amendment rights in the context of compelled disclosure.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techdaily.com/2026/05/supreme-court-signals-a-high-stakes-term-for-administrative-power-and-civil-litigation/" TargetMode="External"/><Relationship Id="rId10" Type="http://schemas.openxmlformats.org/officeDocument/2006/relationships/hyperlink" Target="https://www.kpmg.com/us/en/taxnewsflash/news/2026/02/us-supreme-court-presidential-tariffs-exceeded-legal-authority-under-ieepa.html" TargetMode="External"/><Relationship Id="rId11" Type="http://schemas.openxmlformats.org/officeDocument/2006/relationships/hyperlink" Target="https://www.lexology.com/library/detail.aspx?g=e502a2be-2297-4569-920d-5bed65bbe1a6" TargetMode="External"/><Relationship Id="rId12" Type="http://schemas.openxmlformats.org/officeDocument/2006/relationships/hyperlink" Target="https://www.venable.com/insights/publications/2026/02/supreme-court-invalidates-ieepa-tariffs-with" TargetMode="External"/><Relationship Id="rId13" Type="http://schemas.openxmlformats.org/officeDocument/2006/relationships/hyperlink" Target="https://www.dwt.com/blogs/broadband-advisor/2026/02/supreme-court-review-fcc-penalty-authority" TargetMode="External"/><Relationship Id="rId14" Type="http://schemas.openxmlformats.org/officeDocument/2006/relationships/hyperlink" Target="https://www.dorsey.com/newsresources/publications/client-alerts/2026/2/feb-25-supreme-court-update" TargetMode="External"/><Relationship Id="rId15" Type="http://schemas.openxmlformats.org/officeDocument/2006/relationships/hyperlink" Target="https://www.faegredrinker.com/en/insights/publications/2026/4/supreme-court-decides-first-choice-womens-resource-centers-inc-v-daven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