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equities rally as sectors shift focus towards resilience and growth potential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Market positioning across UK equities is offering a clearer read on investor mood as the FTSE 100 has continued to move from strength to strength. The index crossed 9,000 in July 2025 before surging through 10,000 for the first time on 2 January 2026, a milestone The Guardian described as the culmination of a strong year for the market, with gains concentrated in energy, banking and mining. That backdrop helps explain why shifts in sentiment around individual shares are being watched so closely.</w:t>
      </w:r>
      <w:r/>
    </w:p>
    <w:p>
      <w:r/>
      <w:r>
        <w:t>Within that broader rally, defensive or bearish positioning has become more pronounced in some names. Rolls-Royce, which remains closely tied to aerospace demand and industrial confidence, has been one of the stocks drawing attention as investors reassess how resilient earnings may prove in a slower global environment. Ocado has also stayed under scrutiny because its route to sustained profitability remains a major question for the market, especially as competition in online grocery and logistics continues to intensify.</w:t>
      </w:r>
      <w:r/>
    </w:p>
    <w:p>
      <w:r/>
      <w:r>
        <w:t>By contrast, some of the pressure around banks and consumer staples appears to be easing. Barclays has benefited from continuing discussion around earnings stability and capital strength, while Tesco’s steady trading has reinforced the appeal of established defensive businesses. Lloyds Banking Group remains sensitive to interest-rate expectations and the wider economic outlook, but the sector has generally retained support as investors look for dependable returns.</w:t>
      </w:r>
      <w:r/>
    </w:p>
    <w:p>
      <w:r/>
      <w:r>
        <w:t>Income stocks still play an outsized role in shaping sentiment. BP, with its large dividend profile and exposure to oil and gas markets, remains a familiar feature of defensive UK portfolios. More broadly, the appeal of dividend-paying blue chips has been strengthened by the FTSE’s recent run, which has been supported by sectors such as energy, banking and mining, according to reporting from The Guardian.</w:t>
      </w:r>
      <w:r/>
    </w:p>
    <w:p>
      <w:r/>
      <w:r>
        <w:t>The same pattern is visible in the way investors are treating smaller and faster-growing parts of the market. The FTSE AIM 100 and FTSE AIM UK 50 tend to show sharper swings in positioning because their constituents are more exposed to funding conditions, earnings surprises and changes in risk appetite. That makes them a useful gauge of whether investors are leaning towards caution or willing to back growth.</w:t>
      </w:r>
      <w:r/>
    </w:p>
    <w:p>
      <w:r/>
      <w:r>
        <w:t>Sector rotation has remained central to the story. Mining and aerospace have helped lift the tone of the market, a point also noted in recent Kalkine Media coverage, while other areas have been more uneven. The rebalancing is not signalling a single market direction so much as a selective hunt for resilience, yield and credible growth.</w:t>
      </w:r>
      <w:r/>
    </w:p>
    <w:p>
      <w:r/>
      <w:r>
        <w:t>The larger message from recent trading is that confidence in UK equities has improved, but not uniformly. The FTSE 100’s ascent to record territory, alongside high-profile changes such as WPP’s removal from the index in December 2025 after almost three decades, shows how quickly market leadership can change. For investors, the challenge is less about reading one broad trend than about understanding which sectors are still attracting conviction, and which are prompting caution.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2">
        <w:r>
          <w:rPr>
            <w:color w:val="0000EE"/>
            <w:u w:val="single"/>
          </w:rPr>
          <w:t>[5]</w:t>
        </w:r>
      </w:hyperlink>
      <w:r>
        <w:t xml:space="preserve">, </w:t>
      </w:r>
      <w:hyperlink r:id="rId13">
        <w:r>
          <w:rPr>
            <w:color w:val="0000EE"/>
            <w:u w:val="single"/>
          </w:rPr>
          <w:t>[7]</w:t>
        </w:r>
      </w:hyperlink>
      <w:r>
        <w:t xml:space="preserve">- Paragraph 7: </w:t>
      </w:r>
      <w:hyperlink r:id="rId11">
        <w:r>
          <w:rPr>
            <w:color w:val="0000EE"/>
            <w:u w:val="single"/>
          </w:rPr>
          <w:t>[3]</w:t>
        </w:r>
      </w:hyperlink>
      <w:r>
        <w:t xml:space="preserve">, </w:t>
      </w:r>
      <w:hyperlink r:id="rId15">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https://kalkinemedia.com/uk/news/market-updates/ftse-momentum-uncovered-what-recent-market-moves-reveal</w:t>
        </w:r>
      </w:hyperlink>
      <w:r>
        <w:t xml:space="preserve"> - Please view link - unable to able to access data</w:t>
      </w:r>
      <w:r/>
    </w:p>
    <w:p>
      <w:pPr>
        <w:pStyle w:val="ListNumber"/>
        <w:spacing w:line="240" w:lineRule="auto"/>
        <w:ind w:left="720"/>
      </w:pPr>
      <w:r/>
      <w:hyperlink r:id="rId10">
        <w:r>
          <w:rPr>
            <w:color w:val="0000EE"/>
            <w:u w:val="single"/>
          </w:rPr>
          <w:t>https://www.theguardian.com/business/2026/jan/02/ftse-100-breaks-10000-uk-share-index</w:t>
        </w:r>
      </w:hyperlink>
      <w:r>
        <w:t xml:space="preserve"> - The FTSE 100, comprising the 100 most valuable companies listed on the London Stock Exchange, surpassed the 10,000-point mark for the first time on January 2, 2026. This milestone capped a stellar year for the UK market, with the index rising over 20% in the past 12 months. The surge was attributed to strong performances across various sectors, including energy, banking, and mining, reflecting renewed investor confidence and positive economic indicators.</w:t>
      </w:r>
      <w:r/>
    </w:p>
    <w:p>
      <w:pPr>
        <w:pStyle w:val="ListNumber"/>
        <w:spacing w:line="240" w:lineRule="auto"/>
        <w:ind w:left="720"/>
      </w:pPr>
      <w:r/>
      <w:hyperlink r:id="rId11">
        <w:r>
          <w:rPr>
            <w:color w:val="0000EE"/>
            <w:u w:val="single"/>
          </w:rPr>
          <w:t>https://www.theguardian.com/business/2025/jul/15/ftse-100-breaks-through-the-9000-point-barrier-to-reach-new-record-high</w:t>
        </w:r>
      </w:hyperlink>
      <w:r>
        <w:t xml:space="preserve"> - On July 15, 2025, the FTSE 100 reached a new record high, surpassing the 9,000-point barrier. This achievement marked a 10% increase in the index for the year, driven by investor diversification away from US stocks amid concerns over economic policies. The rise was supported by gains in sectors such as energy, banking, and mining, indicating robust market performance and investor optimism.</w:t>
      </w:r>
      <w:r/>
    </w:p>
    <w:p>
      <w:pPr>
        <w:pStyle w:val="ListNumber"/>
        <w:spacing w:line="240" w:lineRule="auto"/>
        <w:ind w:left="720"/>
      </w:pPr>
      <w:r/>
      <w:hyperlink r:id="rId15">
        <w:r>
          <w:rPr>
            <w:color w:val="0000EE"/>
            <w:u w:val="single"/>
          </w:rPr>
          <w:t>https://www.theguardian.com/business/2025/dec/03/wpp-advertising-group-drops-out-ftse-100</w:t>
        </w:r>
      </w:hyperlink>
      <w:r>
        <w:t xml:space="preserve"> - WPP, the world's largest advertising group, was relegated from the FTSE 100 after nearly 30 years on December 3, 2025. The company's market valuation plummeted from about £24 billion in 2017 to £3.1 billion, attributed to an exodus of clients and challenges in matching the artificial intelligence and data capabilities of rivals. This shift highlights evolving market dynamics and investor sentiment within the UK equity landscape.</w:t>
      </w:r>
      <w:r/>
    </w:p>
    <w:p>
      <w:pPr>
        <w:pStyle w:val="ListNumber"/>
        <w:spacing w:line="240" w:lineRule="auto"/>
        <w:ind w:left="720"/>
      </w:pPr>
      <w:r/>
      <w:hyperlink r:id="rId12">
        <w:r>
          <w:rPr>
            <w:color w:val="0000EE"/>
            <w:u w:val="single"/>
          </w:rPr>
          <w:t>https://kalkinemedia.com/uk/news/market-updates/ftse-momentum-builds-as-aerospace-and-mining-stocks-lift-market-tone</w:t>
        </w:r>
      </w:hyperlink>
      <w:r>
        <w:t xml:space="preserve"> - The FTSE 100 experienced positive momentum as aerospace and mining stocks, notably Rolls-Royce and Glencore, contributed to market gains. The performance of these sectors was influenced by central bank policies and economic signals, reflecting investor focus on monetary policy direction and sector performance. The broader FTSE All-Share index mirrored this strength, indicating widespread market optimism.</w:t>
      </w:r>
      <w:r/>
    </w:p>
    <w:p>
      <w:pPr>
        <w:pStyle w:val="ListNumber"/>
        <w:spacing w:line="240" w:lineRule="auto"/>
        <w:ind w:left="720"/>
      </w:pPr>
      <w:r/>
      <w:hyperlink r:id="rId14">
        <w:r>
          <w:rPr>
            <w:color w:val="0000EE"/>
            <w:u w:val="single"/>
          </w:rPr>
          <w:t>https://kalkinemedia.com/uk/news/market-updates/ftse-momentum-builds-as-markets-reset-after-global-shock</w:t>
        </w:r>
      </w:hyperlink>
      <w:r>
        <w:t xml:space="preserve"> - Following a global economic shock, the FTSE 100 and broader UK equities strengthened as markets reset. The recovery was supported by diversified sectors, income focus, and structural resilience, positioning the market for sustainable long-term momentum. The stability of blue-chip companies and renewed investor confidence played key roles in this positive trend.</w:t>
      </w:r>
      <w:r/>
    </w:p>
    <w:p>
      <w:pPr>
        <w:pStyle w:val="ListNumber"/>
        <w:spacing w:line="240" w:lineRule="auto"/>
        <w:ind w:left="720"/>
      </w:pPr>
      <w:r/>
      <w:hyperlink r:id="rId13">
        <w:r>
          <w:rPr>
            <w:color w:val="0000EE"/>
            <w:u w:val="single"/>
          </w:rPr>
          <w:t>https://kalkinemedia.com/uk/news/market-updates/ftse-momentum-surges-as-uk-shares-rise-on-rate-pause</w:t>
        </w:r>
      </w:hyperlink>
      <w:r>
        <w:t xml:space="preserve"> - UK equities advanced as central banks paused interest rate hikes, leading to renewed market momentum. The energy sector's performance influenced inflation sentiment, while consumer staples and mining shares experienced pressure. The broader market's response to monetary policy decisions highlighted the interconnectedness of global economic factors and investor sentiment.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uk/news/market-updates/ftse-momentum-uncovered-what-recent-market-moves-reveal" TargetMode="External"/><Relationship Id="rId10" Type="http://schemas.openxmlformats.org/officeDocument/2006/relationships/hyperlink" Target="https://www.theguardian.com/business/2026/jan/02/ftse-100-breaks-10000-uk-share-index" TargetMode="External"/><Relationship Id="rId11" Type="http://schemas.openxmlformats.org/officeDocument/2006/relationships/hyperlink" Target="https://www.theguardian.com/business/2025/jul/15/ftse-100-breaks-through-the-9000-point-barrier-to-reach-new-record-high" TargetMode="External"/><Relationship Id="rId12" Type="http://schemas.openxmlformats.org/officeDocument/2006/relationships/hyperlink" Target="https://kalkinemedia.com/uk/news/market-updates/ftse-momentum-builds-as-aerospace-and-mining-stocks-lift-market-tone" TargetMode="External"/><Relationship Id="rId13" Type="http://schemas.openxmlformats.org/officeDocument/2006/relationships/hyperlink" Target="https://kalkinemedia.com/uk/news/market-updates/ftse-momentum-surges-as-uk-shares-rise-on-rate-pause" TargetMode="External"/><Relationship Id="rId14" Type="http://schemas.openxmlformats.org/officeDocument/2006/relationships/hyperlink" Target="https://kalkinemedia.com/uk/news/market-updates/ftse-momentum-builds-as-markets-reset-after-global-shock" TargetMode="External"/><Relationship Id="rId15" Type="http://schemas.openxmlformats.org/officeDocument/2006/relationships/hyperlink" Target="https://www.theguardian.com/business/2025/dec/03/wpp-advertising-group-drops-out-ftse-10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