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ASX warns companies on inflated AI claims amid rising market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Australia’s stock exchange has sharpened its warning on artificial intelligence claims, as listed companies increasingly use AI language in market updates and investor materials. According to the ASX, disclosures must stay measured, accurate and grounded in evidence, even as firms across the market lean on technology narratives to describe growth, productivity and innovation.</w:t>
      </w:r>
      <w:r/>
    </w:p>
    <w:p>
      <w:r/>
      <w:r>
        <w:t>The exchange’s compliance arm is responsible for monitoring adherence to listing and operating rules, and its Listings Compliance division reviews whether companies’ announcements and admissions meet those standards. That framework gives the ASX a direct role in policing how listed entities communicate, particularly when new technology is being used to support ambitious business stories.</w:t>
      </w:r>
      <w:r/>
    </w:p>
    <w:p>
      <w:r/>
      <w:r>
        <w:t>AI has become a common feature of corporate messaging across technology, finance, resources and industrials, with companies often referencing automation, machine learning and digital transformation in routine updates. But the ASX has made clear that novelty does not excuse exaggeration: the more frequently AI appears in announcements, the more important it becomes for firms to distinguish between proven operations and projects still in development.</w:t>
      </w:r>
      <w:r/>
    </w:p>
    <w:p>
      <w:r/>
      <w:r>
        <w:t>The concern is not limited to one sector. Fidelity Australia has noted that boards across ASX-listed companies are at different stages in adopting AI, while governance expectations are rising as investors look more closely at oversight, accountability and risk management. That broader backdrop helps explain why regulators and exchange operators are pressing for greater restraint in how AI initiatives are described to the market.</w:t>
      </w:r>
      <w:r/>
    </w:p>
    <w:p>
      <w:r/>
      <w:r>
        <w:t>The emphasis on clear communication also aligns with the wider regulatory stance in Australia. ASIC has set out its own commitment to responsible and transparent use of AI, while continuing to focus on reporting quality and compliance in financial statements and audits. Together, those signals point to a market environment in which listed companies can discuss emerging technology, but only if their claims remain precise, proportionate and supportable.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9">
        <w:r>
          <w:rPr>
            <w:color w:val="0000EE"/>
            <w:u w:val="single"/>
          </w:rPr>
          <w:t>[1]</w:t>
        </w:r>
      </w:hyperlink>
      <w:r>
        <w:t xml:space="preserve">- Paragraph 5: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https://kalkinemedia.com/au/stocks/financial/all-ordinaries-focus-asx-flags-ai-hype-concerns-across-listed-firms</w:t>
        </w:r>
      </w:hyperlink>
      <w:r>
        <w:t xml:space="preserve"> - Please view link - unable to able to access data</w:t>
      </w:r>
      <w:r/>
    </w:p>
    <w:p>
      <w:pPr>
        <w:pStyle w:val="ListNumber"/>
        <w:spacing w:line="240" w:lineRule="auto"/>
        <w:ind w:left="720"/>
      </w:pPr>
      <w:r/>
      <w:hyperlink r:id="rId10">
        <w:r>
          <w:rPr>
            <w:color w:val="0000EE"/>
            <w:u w:val="single"/>
          </w:rPr>
          <w:t>https://www.asx.com.au/about/regulation/asx-compliance</w:t>
        </w:r>
      </w:hyperlink>
      <w:r>
        <w:t xml:space="preserve"> - ASX Compliance is a specialist function established by ASX to monitor and enforce compliance by listed entities with the ASX Listing Rules and by issuers of investment products with the ASX Operating Rules. It comprises three divisions: Listings Compliance, Participants Compliance, and the Executive Office, which manages the Enforcement function and supports the ASX Corporate Governance Council.</w:t>
      </w:r>
      <w:r/>
    </w:p>
    <w:p>
      <w:pPr>
        <w:pStyle w:val="ListNumber"/>
        <w:spacing w:line="240" w:lineRule="auto"/>
        <w:ind w:left="720"/>
      </w:pPr>
      <w:r/>
      <w:hyperlink r:id="rId11">
        <w:r>
          <w:rPr>
            <w:color w:val="0000EE"/>
            <w:u w:val="single"/>
          </w:rPr>
          <w:t>https://www.asx.com.au/about/regulation/asx-compliance/listings-compliance</w:t>
        </w:r>
      </w:hyperlink>
      <w:r>
        <w:t xml:space="preserve"> - Listings Compliance is a division within ASX Compliance that monitors and enforces compliance by listed entities with the ASX Listing Rules and by issuers of investment products with the ASX Operating Rules. It assesses applications for admission to the ASX official list and ensures they conform to the ASX Listing Rules and Operating Rules.</w:t>
      </w:r>
      <w:r/>
    </w:p>
    <w:p>
      <w:pPr>
        <w:pStyle w:val="ListNumber"/>
        <w:spacing w:line="240" w:lineRule="auto"/>
        <w:ind w:left="720"/>
      </w:pPr>
      <w:r/>
      <w:hyperlink r:id="rId12">
        <w:r>
          <w:rPr>
            <w:color w:val="0000EE"/>
            <w:u w:val="single"/>
          </w:rPr>
          <w:t>https://www.fidelity.com.au/insights/investment-articles/governing-in-the-age-of-ai-how-asx-boards-are-navigating-a-fast-moving-frontier/</w:t>
        </w:r>
      </w:hyperlink>
      <w:r>
        <w:t xml:space="preserve"> - This article discusses how ASX boards are navigating the challenges of integrating artificial intelligence (AI) into corporate governance. It highlights the uneven maturity across ASX companies in AI adoption, the increasing relevance of AI governance for investment analysis, and the need for boards to strengthen their oversight and accountability frameworks to manage AI-related risks effectively.</w:t>
      </w:r>
      <w:r/>
    </w:p>
    <w:p>
      <w:pPr>
        <w:pStyle w:val="ListNumber"/>
        <w:spacing w:line="240" w:lineRule="auto"/>
        <w:ind w:left="720"/>
      </w:pPr>
      <w:r/>
      <w:hyperlink r:id="rId13">
        <w:r>
          <w:rPr>
            <w:color w:val="0000EE"/>
            <w:u w:val="single"/>
          </w:rPr>
          <w:t>https://www.asic.gov.au/about-asic/what-we-do/how-we-operate/accountability-and-reporting/artificial-intelligence-transparency-statement/</w:t>
        </w:r>
      </w:hyperlink>
      <w:r>
        <w:t xml:space="preserve"> - ASIC's Artificial Intelligence (AI) Transparency Statement outlines the regulator's commitment to the safe, responsible, and transparent use of AI. It details ASIC's adherence to the Australian Government's Policy for the responsible use of AI in government, emphasizing compliance with applicable laws and regulations in the deployment of AI systems.</w:t>
      </w:r>
      <w:r/>
    </w:p>
    <w:p>
      <w:pPr>
        <w:pStyle w:val="ListNumber"/>
        <w:spacing w:line="240" w:lineRule="auto"/>
        <w:ind w:left="720"/>
      </w:pPr>
      <w:r/>
      <w:hyperlink r:id="rId14">
        <w:r>
          <w:rPr>
            <w:color w:val="0000EE"/>
            <w:u w:val="single"/>
          </w:rPr>
          <w:t>https://www.asic.gov.au/regulatory-resources/financial-reporting-and-audit/financial-reporting-and-audit-focus-areas/</w:t>
        </w:r>
      </w:hyperlink>
      <w:r>
        <w:t xml:space="preserve"> - ASIC provides guidance to financial statement preparers and auditors on its enduring and period-specific focus areas for its financial reporting and audit surveillance programs. These focus areas highlight elements of financial reports and audits where ASIC has identified significant instances of non-compliance with Australian Accounting Standards and emerging challenges for financial report preparers.</w:t>
      </w:r>
      <w:r/>
    </w:p>
    <w:p>
      <w:pPr>
        <w:pStyle w:val="ListNumber"/>
        <w:spacing w:line="240" w:lineRule="auto"/>
        <w:ind w:left="720"/>
      </w:pPr>
      <w:r/>
      <w:hyperlink r:id="rId16">
        <w:r>
          <w:rPr>
            <w:color w:val="0000EE"/>
            <w:u w:val="single"/>
          </w:rPr>
          <w:t>https://www2.asx.com.au/content/dam/asx/about/pfmi-disclosure-framework.pdf</w:t>
        </w:r>
      </w:hyperlink>
      <w:r>
        <w:t xml:space="preserve"> - This document outlines the Principles for Financial Market Infrastructures (PFMI) Disclosure Framework, which includes Principle 22 on Communication Procedures and Standards. It emphasizes the use of internationally accepted communication procedures and standards to facilitate efficient payment, clearing, settlement, and recording, ensuring transparency and consistency in financial market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financial/all-ordinaries-focus-asx-flags-ai-hype-concerns-across-listed-firms" TargetMode="External"/><Relationship Id="rId10" Type="http://schemas.openxmlformats.org/officeDocument/2006/relationships/hyperlink" Target="https://www.asx.com.au/about/regulation/asx-compliance" TargetMode="External"/><Relationship Id="rId11" Type="http://schemas.openxmlformats.org/officeDocument/2006/relationships/hyperlink" Target="https://www.asx.com.au/about/regulation/asx-compliance/listings-compliance" TargetMode="External"/><Relationship Id="rId12" Type="http://schemas.openxmlformats.org/officeDocument/2006/relationships/hyperlink" Target="https://www.fidelity.com.au/insights/investment-articles/governing-in-the-age-of-ai-how-asx-boards-are-navigating-a-fast-moving-frontier/" TargetMode="External"/><Relationship Id="rId13" Type="http://schemas.openxmlformats.org/officeDocument/2006/relationships/hyperlink" Target="https://www.asic.gov.au/about-asic/what-we-do/how-we-operate/accountability-and-reporting/artificial-intelligence-transparency-statement/" TargetMode="External"/><Relationship Id="rId14" Type="http://schemas.openxmlformats.org/officeDocument/2006/relationships/hyperlink" Target="https://www.asic.gov.au/regulatory-resources/financial-reporting-and-audit/financial-reporting-and-audit-focus-areas/" TargetMode="External"/><Relationship Id="rId15" Type="http://schemas.openxmlformats.org/officeDocument/2006/relationships/hyperlink" Target="https://www.noahwire.com" TargetMode="External"/><Relationship Id="rId16" Type="http://schemas.openxmlformats.org/officeDocument/2006/relationships/hyperlink" Target="https://www2.asx.com.au/content/dam/asx/about/pfmi-disclosure-framewor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