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shares close April with strong rebound driven by tech rally amid geopolitical and inflation uncertainties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Australian shares finished April with a solid gain even as investors navigated war in the Middle East, sticky inflation and uncertainty around interest rates. The S&amp;P/ASX 200 rose 2.18% over the month, recovering from a softer finish after a run of late losses, while global equities also bounced strongly, according to the market update from Stockhead and related commentary from Walbrook. The move contrasted with some other April market reviews that showed a weaker domestic backdrop, underscoring how volatile sentiment was during the month.</w:t>
      </w:r>
      <w:r/>
    </w:p>
    <w:p>
      <w:r/>
      <w:r>
        <w:t>Technology led the local market’s recovery, climbing more than 13%, while healthcare was hit hard and fell 8.67%. Real estate also firmed, helping seven of the 11 ASX 200 sectors post gains, but defensive names such as consumer staples and utilities remained under pressure. By contrast, Capital Brief and other April market summaries noted that the sector had been weak in several sessions, with big technology names under pressure as investors reassessed the US rate outlook.</w:t>
      </w:r>
      <w:r/>
    </w:p>
    <w:p>
      <w:r/>
      <w:r>
        <w:t>Macro conditions remained in focus. Australian inflation surprised to the upside in March, with headline CPI rising 1.1% for the month and 4.6% over the year, according to the Australian Bureau of Statistics. Trimmed mean inflation held at 3.3%, keeping pressure on the Reserve Bank of Australia ahead of its early-May meeting. The Melbourne Institute said the central bank could yet raise rates by another 25 basis points, though it also argued that the full effect of earlier hikes and geopolitical shocks had probably not yet flowed through to the domestic economy.</w:t>
      </w:r>
      <w:r/>
    </w:p>
    <w:p>
      <w:r/>
      <w:r>
        <w:t>Commodity and asset markets were similarly unsettled. Crude oil swung sharply as events in the Middle East evolved, falling heavily at one point before ending April higher, while gold was slightly softer over the month. Bitcoin recovered some lost ground with an 11% gain, although it remained down for the year. In fixed income, inflation-linked government bonds delivered modest gains, reflecting a cautious but not uniformly risk-off tone across markets, according to the Stockhead review.</w:t>
      </w:r>
      <w:r/>
    </w:p>
    <w:p>
      <w:r/>
      <w:r>
        <w:t>At stock level, Adisyn was the standout, surging 241% after a run of company announcements that included a graphene-related technical breakthrough, an exclusive licensing agreement and a $14m capital raising. Narryer Metals gained 200% after a placement that brought mining investor Tim Goyder onto the register, while Patriot Resources advanced 186% after unveiling a large-scale exploration target at its Tassa project in Peru. At the other end of the table, Scidev and Dateline Resources were among the month’s weakest performers, while several healthcare and lithium names also suffered steep declines.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[5]</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https://stockhead.com.au/news/asx-monthly-winners-tech-surges-13-as-global-equities-push-back-on-middle-east-war/</w:t>
        </w:r>
      </w:hyperlink>
      <w:r>
        <w:t xml:space="preserve"> - Please view link - unable to able to access data</w:t>
      </w:r>
      <w:r/>
    </w:p>
    <w:p>
      <w:pPr>
        <w:pStyle w:val="ListNumber"/>
        <w:spacing w:line="240" w:lineRule="auto"/>
        <w:ind w:left="720"/>
      </w:pPr>
      <w:r/>
      <w:hyperlink r:id="rId10">
        <w:r>
          <w:rPr>
            <w:color w:val="0000EE"/>
            <w:u w:val="single"/>
          </w:rPr>
          <w:t>https://www.walbrook.com.au/insight/market-update-april-2024/</w:t>
        </w:r>
      </w:hyperlink>
      <w:r>
        <w:t xml:space="preserve"> - In April 2024, the Australian market experienced a strong performance, with the S&amp;P/ASX 200 rising by 2.18%. This positive trend was driven by a rebound in global equities, despite ongoing geopolitical tensions in the Middle East. The technology sector led the gains, surging over 13%, while the healthcare sector faced a decline of 8.67%. Notably, Adisyn Ltd (ASX: AI1) emerged as the top-performing stock, surging 241% following significant developments, including a key breakthrough, a licensing deal, and a capital raise. These factors contributed to the overall positive momentum in the Australian market during April 2024.</w:t>
      </w:r>
      <w:r/>
    </w:p>
    <w:p>
      <w:pPr>
        <w:pStyle w:val="ListNumber"/>
        <w:spacing w:line="240" w:lineRule="auto"/>
        <w:ind w:left="720"/>
      </w:pPr>
      <w:r/>
      <w:hyperlink r:id="rId12">
        <w:r>
          <w:rPr>
            <w:color w:val="0000EE"/>
            <w:u w:val="single"/>
          </w:rPr>
          <w:t>https://www.capitalbrief.com/briefing/asx-drops-as-tech-drags-bbed5957-7652-4af1-99d3-180a6133df08/</w:t>
        </w:r>
      </w:hyperlink>
      <w:r>
        <w:t xml:space="preserve"> - In April 2024, the Australian sharemarket faced challenges, with the benchmark ASX 200 declining by 0.46% to 7,752.5. This downturn was influenced by various factors, including investor nervousness regarding the US interest rate path. The technology sector was particularly impacted, with major companies such as Wisetech, Xero, and Altium experiencing declines. Additionally, NextDC's shares fell by 5.39% following the completion of its $1.32 billion capital raise. These developments highlight the complexities and challenges faced by the Australian market during this period.</w:t>
      </w:r>
      <w:r/>
    </w:p>
    <w:p>
      <w:pPr>
        <w:pStyle w:val="ListNumber"/>
        <w:spacing w:line="240" w:lineRule="auto"/>
        <w:ind w:left="720"/>
      </w:pPr>
      <w:r/>
      <w:hyperlink r:id="rId13">
        <w:r>
          <w:rPr>
            <w:color w:val="0000EE"/>
            <w:u w:val="single"/>
          </w:rPr>
          <w:t>https://www.capitalbrief.com/briefing/asx-drops-as-every-sector-falls-8f8e85f7-79fe-45b0-9456-ac63be873435/</w:t>
        </w:r>
      </w:hyperlink>
      <w:r>
        <w:t xml:space="preserve"> - In April 2024, the Australian sharemarket experienced a broad-based decline, with the benchmark ASX 200 falling by 0.56% to 7,773.3. This downturn was influenced by investor concerns over the US interest rate path, leading to a sharp market decline. All 11 sectors finished in the red, with the technology sector being the worst performer, down 1.41%. Major tech companies, including Wisetech, Xero, and NextDC, saw significant declines. These market movements underscore the challenges faced by the Australian sharemarket during this period.</w:t>
      </w:r>
      <w:r/>
    </w:p>
    <w:p>
      <w:pPr>
        <w:pStyle w:val="ListNumber"/>
        <w:spacing w:line="240" w:lineRule="auto"/>
        <w:ind w:left="720"/>
      </w:pPr>
      <w:r/>
      <w:hyperlink r:id="rId11">
        <w:r>
          <w:rPr>
            <w:color w:val="0000EE"/>
            <w:u w:val="single"/>
          </w:rPr>
          <w:t>https://www.primefinancial.com.au/blog/monthly-market-update---april-2024</w:t>
        </w:r>
      </w:hyperlink>
      <w:r>
        <w:t xml:space="preserve"> - April 2024 was marked by significant volatility in financial markets, driven by mixed economic data, corporate earnings, and evolving expectations for interest rates and central bank policies. Investors grappled with uncertainty surrounding fiscal stimulus in the U.S. election year and the resilience of the economy. Strong U.S. wage data and retail sales figures painted a picture of a resilient economy, leading to market gains. However, stronger-than-expected U.S. inflation data cast doubts on the Federal Reserve's rate-cutting timeline, briefly causing sell-offs in equities. The technology sector, particularly the Nasdaq Composite, recovered from earlier losses, finishing just 2% down, while the broader S&amp;P 500 ended down similarly with slightly less volatility. These developments highlight the complex dynamics influencing global financial markets during April 2024.</w:t>
      </w:r>
      <w:r/>
    </w:p>
    <w:p>
      <w:pPr>
        <w:pStyle w:val="ListNumber"/>
        <w:spacing w:line="240" w:lineRule="auto"/>
        <w:ind w:left="720"/>
      </w:pPr>
      <w:r/>
      <w:hyperlink r:id="rId14">
        <w:r>
          <w:rPr>
            <w:color w:val="0000EE"/>
            <w:u w:val="single"/>
          </w:rPr>
          <w:t>https://www.arrowwealth.com.au/insights/2024/market-summary-april</w:t>
        </w:r>
      </w:hyperlink>
      <w:r>
        <w:t xml:space="preserve"> - In April 2024, Australian equities declined by 2.9%, following a gain of 5.3% in the March quarter. The losses were broad-based, with only the materials sector contributing positively. Real Estate Investment Trusts (REITs) experienced a significant drop of 7.6% due to rising bond yields. Other sectors, including consumer discretionary, banks, and energy, all declined by more than 3.5%. This downturn was driven by higher-than-expected inflation data domestically and in the U.S., leading to a less supportive interest rate outlook and pushing bond yields higher. These factors contributed to the overall negative performance of Australian equities during April 2024.</w:t>
      </w:r>
      <w:r/>
    </w:p>
    <w:p>
      <w:pPr>
        <w:pStyle w:val="ListNumber"/>
        <w:spacing w:line="240" w:lineRule="auto"/>
        <w:ind w:left="720"/>
      </w:pPr>
      <w:r/>
      <w:hyperlink r:id="rId15">
        <w:r>
          <w:rPr>
            <w:color w:val="0000EE"/>
            <w:u w:val="single"/>
          </w:rPr>
          <w:t>https://www.viewon.com.au/market-review-april-2024/</w:t>
        </w:r>
      </w:hyperlink>
      <w:r>
        <w:t xml:space="preserve"> - April 2024 marked the first monthly decline in equity markets for the year, with both international and Australian markets retreating as rate cut expectations were further delayed. Fixed income markets continued to rise, with both international and Australian bond prices increasing and yields falling following strong economic data and central bank comments. The Australian dollar remained relatively flat, ending the month at almost the same level it started. Commodities ended mixed, with oil prices falling due to easing tensions in the Middle East, while gold continued to rise. These developments reflect the complex dynamics influencing global financial markets during April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ockhead.com.au/news/asx-monthly-winners-tech-surges-13-as-global-equities-push-back-on-middle-east-war/" TargetMode="External"/><Relationship Id="rId10" Type="http://schemas.openxmlformats.org/officeDocument/2006/relationships/hyperlink" Target="https://www.walbrook.com.au/insight/market-update-april-2024/" TargetMode="External"/><Relationship Id="rId11" Type="http://schemas.openxmlformats.org/officeDocument/2006/relationships/hyperlink" Target="https://www.primefinancial.com.au/blog/monthly-market-update---april-2024" TargetMode="External"/><Relationship Id="rId12" Type="http://schemas.openxmlformats.org/officeDocument/2006/relationships/hyperlink" Target="https://www.capitalbrief.com/briefing/asx-drops-as-tech-drags-bbed5957-7652-4af1-99d3-180a6133df08/" TargetMode="External"/><Relationship Id="rId13" Type="http://schemas.openxmlformats.org/officeDocument/2006/relationships/hyperlink" Target="https://www.capitalbrief.com/briefing/asx-drops-as-every-sector-falls-8f8e85f7-79fe-45b0-9456-ac63be873435/" TargetMode="External"/><Relationship Id="rId14" Type="http://schemas.openxmlformats.org/officeDocument/2006/relationships/hyperlink" Target="https://www.arrowwealth.com.au/insights/2024/market-summary-april" TargetMode="External"/><Relationship Id="rId15" Type="http://schemas.openxmlformats.org/officeDocument/2006/relationships/hyperlink" Target="https://www.viewon.com.au/market-review-april-20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