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equities surge as companies pivot towards AI and mainstream finance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Blockchain-related equities have drawn renewed attention this month as traders look for ways to gain exposure to digital assets, infrastructure spending and the artificial intelligence build-out without holding cryptocurrencies directly. The latest list of heavily traded names spans miners, hosting providers, software groups and firms trying to connect blockchain more closely with mainstream finance, underscoring how broad the sector has become.</w:t>
      </w:r>
      <w:r/>
    </w:p>
    <w:p>
      <w:r/>
      <w:r>
        <w:t>Core Scientific is one of the clearest examples of that shift. According to its corporate website, the company has repositioned itself as a provider of high-performance computing infrastructure and software, with operations across North America that now include Bitcoin mining, GPU cloud services and AI colocation. The company also said it sold about $175 million of Bitcoin in March 2026 to speed up expansion of its AI infrastructure, and it has stopped Bitcoin mining operations while continuing to push deeper into data-centre work.</w:t>
      </w:r>
      <w:r/>
    </w:p>
    <w:p>
      <w:r/>
      <w:r>
        <w:t>Figure Technology Solutions represents a different strand of the market. The company describes itself as a blockchain-native capital marketplace, using on-chain systems for lending, trading and investing in credit and digital assets. Its Figure Connect platform is aimed at linking loan originators with capital-market partners, while a financing deal with Victory Park Capital in May 2025 marked what Figure called the first institutional sale of consumer crypto-backed loans. In November 2025, it also filed for a proposed blockchain-native class of equity securities.</w:t>
      </w:r>
      <w:r/>
    </w:p>
    <w:p>
      <w:r/>
      <w:r>
        <w:t>Bitdeer Technologies Group remains tied to the infrastructure side of the trade, offering cloud hash-rate sharing, mining-power marketplaces and full hosting services alongside its own mining activity. The company says its model lets customers rent computing power rather than buy hardware outright, a structure that has become more attractive as investors weigh both blockchain demand and AI workloads. Globant, by contrast, sits further from pure crypto, but its blockchain services are part of a wider stack that includes cloud, AI and cybersecurity, according to the company’s website.</w:t>
      </w:r>
      <w:r/>
    </w:p>
    <w:p>
      <w:r/>
      <w:r>
        <w:t>Other names on the list reflect more traditional mining and staking themes. Digihost Technology, a digital currency miner founded in 2017, continues to focus on running rigs and selling the coins it produces, while its US operations are presented as a way to navigate some regulatory pressures. BTCS is leaning into proof-of-stake infrastructure, offering validator services and products such as StakeSeeker and Builder+ as staking becomes more important across blockchain networks. Core Scientific’s warrant listing adds a more leveraged way to play the same story, though with greater risk if sentiment turns.</w:t>
      </w:r>
      <w:r/>
    </w:p>
    <w:p>
      <w:r/>
      <w:r>
        <w:t>The broader appeal of these stocks comes from the same forces that have driven blockchain investing for years: the direction of Bitcoin, the economics of energy and compute, and the possibility that tokenisation and AI will give existing infrastructure owners new revenue streams. But the same characteristics that make the sector attractive also make it volatile, and the companies involved remain highly sensitive to crypto prices, regulation and capital spending cycles.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https://blockmanity.com/news/7-high-volume-blockchain-stocks-to-watch-closely-this-may/</w:t>
        </w:r>
      </w:hyperlink>
      <w:r>
        <w:t xml:space="preserve"> - Please view link - unable to able to access data</w:t>
      </w:r>
      <w:r/>
    </w:p>
    <w:p>
      <w:pPr>
        <w:pStyle w:val="ListNumber"/>
        <w:spacing w:line="240" w:lineRule="auto"/>
        <w:ind w:left="720"/>
      </w:pPr>
      <w:r/>
      <w:hyperlink r:id="rId10">
        <w:r>
          <w:rPr>
            <w:color w:val="0000EE"/>
            <w:u w:val="single"/>
          </w:rPr>
          <w:t>https://www.corescientific.com/</w:t>
        </w:r>
      </w:hyperlink>
      <w:r>
        <w:t xml:space="preserve"> - Core Scientific is a leading provider of high-performance computing infrastructure and software solutions, specialising in blockchain and artificial intelligence applications. The company operates data centres across North America, offering services such as Bitcoin mining, GPU cloud services, and colocation for AI workloads. In 2025, Core Scientific signed contracts worth $10 billion for data centre operations and has been increasingly focusing on high-performance computing for AI since 2024. In March 2026, the company sold approximately $175 million worth of Bitcoin holdings to accelerate the expansion of its AI infrastructure, discontinuing Bitcoin mining operations. Core Scientific currently operates 10 data centres across seven US states.</w:t>
      </w:r>
      <w:r/>
    </w:p>
    <w:p>
      <w:pPr>
        <w:pStyle w:val="ListNumber"/>
        <w:spacing w:line="240" w:lineRule="auto"/>
        <w:ind w:left="720"/>
      </w:pPr>
      <w:r/>
      <w:hyperlink r:id="rId11">
        <w:r>
          <w:rPr>
            <w:color w:val="0000EE"/>
            <w:u w:val="single"/>
          </w:rPr>
          <w:t>https://www.figure.com/</w:t>
        </w:r>
      </w:hyperlink>
      <w:r>
        <w:t xml:space="preserve"> - Figure Technology Solutions is a blockchain-native capital marketplace that leverages blockchain technology to enhance efficiency and transparency in financial services. The company offers a suite of blockchain-based solutions for lending, trading, and investing in credit and digital assets. Figure Connect, its consumer credit marketplace, connects loan originators with a broad pool of capital markets partners, facilitating the origination, funding, sale, and trading of on-chain loan products and tokenised assets. In May 2025, Figure entered into a financing agreement with Victory Park Capital, marking the first institutional sale of consumer crypto-backed loans. In November 2025, the company filed a registration statement for the proposed offering of its Series A Blockchain Common Stock, a blockchain-native class of equity securities.</w:t>
      </w:r>
      <w:r/>
    </w:p>
    <w:p>
      <w:pPr>
        <w:pStyle w:val="ListNumber"/>
        <w:spacing w:line="240" w:lineRule="auto"/>
        <w:ind w:left="720"/>
      </w:pPr>
      <w:r/>
      <w:hyperlink r:id="rId12">
        <w:r>
          <w:rPr>
            <w:color w:val="0000EE"/>
            <w:u w:val="single"/>
          </w:rPr>
          <w:t>https://www.bitdeer.com/</w:t>
        </w:r>
      </w:hyperlink>
      <w:r>
        <w:t xml:space="preserve"> - Bitdeer Technologies Group is a global leader in high-performance computing and blockchain infrastructure services. The company offers cloud hash rate sharing, marketplaces for mining power, and full hosting services, including deployment, upkeep, and management. Bitdeer also engages in cryptocurrency mining operations. Their flexible solutions allow users to rent mining power without purchasing hardware, catering to the growing demand for blockchain infrastructure and AI workloads. The company's technology scales to support AI applications, positioning Bitdeer as a significant player in the blockchain infrastructure sector.</w:t>
      </w:r>
      <w:r/>
    </w:p>
    <w:p>
      <w:pPr>
        <w:pStyle w:val="ListNumber"/>
        <w:spacing w:line="240" w:lineRule="auto"/>
        <w:ind w:left="720"/>
      </w:pPr>
      <w:r/>
      <w:hyperlink r:id="rId13">
        <w:r>
          <w:rPr>
            <w:color w:val="0000EE"/>
            <w:u w:val="single"/>
          </w:rPr>
          <w:t>https://www.globant.com/</w:t>
        </w:r>
      </w:hyperlink>
      <w:r>
        <w:t xml:space="preserve"> - Globant is a technology services company that delivers digital solutions worldwide, integrating blockchain, cloud, AI, cybersecurity, IoT, and metaverse technologies. The company assists large enterprises in adopting agile methodologies, optimising processes, and integrating platforms like AWS and Google Cloud. While not solely focused on cryptocurrency, Globant's blockchain services are integral to enterprise growth, providing secure and efficient ledger solutions. The company's broad toolkit and high trading volume reflect investor confidence in the expanding tech services market.</w:t>
      </w:r>
      <w:r/>
    </w:p>
    <w:p>
      <w:pPr>
        <w:pStyle w:val="ListNumber"/>
        <w:spacing w:line="240" w:lineRule="auto"/>
        <w:ind w:left="720"/>
      </w:pPr>
      <w:r/>
      <w:hyperlink r:id="rId14">
        <w:r>
          <w:rPr>
            <w:color w:val="0000EE"/>
            <w:u w:val="single"/>
          </w:rPr>
          <w:t>https://www.digihost.com/</w:t>
        </w:r>
      </w:hyperlink>
      <w:r>
        <w:t xml:space="preserve"> - Digihost Technology is a digital currency mining company based in the United States, focusing on efficient cryptocurrency production. Founded in 2017 and headquartered in Canada, Digihost operates mining rigs to mine various cryptocurrencies, selling the mined coins for profit. The company's US operations allow it to navigate certain global regulations, and strategic energy deals could reduce costs following Bitcoin halving events. A recent spike in trading volume indicates increased retail interest in pure-play miners, with Digihost's performance closely tied to Bitcoin price movements.</w:t>
      </w:r>
      <w:r/>
    </w:p>
    <w:p>
      <w:pPr>
        <w:pStyle w:val="ListNumber"/>
        <w:spacing w:line="240" w:lineRule="auto"/>
        <w:ind w:left="720"/>
      </w:pPr>
      <w:r/>
      <w:hyperlink r:id="rId15">
        <w:r>
          <w:rPr>
            <w:color w:val="0000EE"/>
            <w:u w:val="single"/>
          </w:rPr>
          <w:t>https://www.btcs.com/</w:t>
        </w:r>
      </w:hyperlink>
      <w:r>
        <w:t xml:space="preserve"> - BTCS Inc. is a blockchain infrastructure company operating in the United States, securing validator nodes and handling delegated proof-of-stake (dPoS) transactions. The company offers tools like StakeSeeker, enabling holders to earn rewards easily, and Builder+, which optimises Ethereum blocks for maximum profits. As proof-of-stake chains gain dominance, staking has become a popular method for passive income without the need for mining hardware. BTCS's services are enhanced by Ethereum upgrades, and the company's high trading volume suggests a growing demand for validator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manity.com/news/7-high-volume-blockchain-stocks-to-watch-closely-this-may/" TargetMode="External"/><Relationship Id="rId10" Type="http://schemas.openxmlformats.org/officeDocument/2006/relationships/hyperlink" Target="https://www.corescientific.com/" TargetMode="External"/><Relationship Id="rId11" Type="http://schemas.openxmlformats.org/officeDocument/2006/relationships/hyperlink" Target="https://www.figure.com/" TargetMode="External"/><Relationship Id="rId12" Type="http://schemas.openxmlformats.org/officeDocument/2006/relationships/hyperlink" Target="https://www.bitdeer.com/" TargetMode="External"/><Relationship Id="rId13" Type="http://schemas.openxmlformats.org/officeDocument/2006/relationships/hyperlink" Target="https://www.globant.com/" TargetMode="External"/><Relationship Id="rId14" Type="http://schemas.openxmlformats.org/officeDocument/2006/relationships/hyperlink" Target="https://www.digihost.com/" TargetMode="External"/><Relationship Id="rId15" Type="http://schemas.openxmlformats.org/officeDocument/2006/relationships/hyperlink" Target="https://www.btcs.c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