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Equity rally powered by earnings despite geopolitical tensions and rising oil prices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Equities finished last week on firmer footing, with technology and other growth names again doing much of the heavy lifting, even as investors kept a close watch on Iran-related risks and the recent climb in oil prices. Danske Bank’s research team said the combination of stronger earnings and higher geopolitical tension left markets with an unusual mix of rising share prices and rising bond yields, a pattern that points to investors returning to a more traditional stock-and-bond relationship.</w:t>
      </w:r>
      <w:r/>
    </w:p>
    <w:p>
      <w:r/>
      <w:r>
        <w:t>The bank said the earnings season has been strong enough to offset some of the anxiety around the Middle East, giving equities fresh support despite the uncertain backdrop. That view fits with recent commentary from market strategists at BNY, who said first-quarter S&amp;P 500 results have been robust, although the upside relative to already elevated expectations has been limited and guidance for the rest of the year remains uneven.</w:t>
      </w:r>
      <w:r/>
    </w:p>
    <w:p>
      <w:r/>
      <w:r>
        <w:t>Danske also said there is still downside risk if tensions in the region worsen, but the strength of corporate profits may continue to create upside for equities. The firm noted that year-to-date gains of around 6% to 7% have been driven more by earnings growth than by a simple rerating of valuations, which makes it harder for bears to argue that stocks are expensive purely on valuation grounds.</w:t>
      </w:r>
      <w:r/>
    </w:p>
    <w:p>
      <w:r/>
      <w:r>
        <w:t>The broader picture remains one of markets trying to look through geopolitical noise while staying alert to shifts in energy prices, yields and monetary policy. Earlier this month, Danske said investors were increasingly pricing in a future de-escalation in the Middle East, while BNY and MUFG both pointed to selective leadership in semiconductors, AI-linked names and other growth-sensitive parts of the market. That suggests the rally is still being driven by a narrow set of themes, even as volatility and cross-asset correlations remain elevated.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1">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https://www.fxstreet.com/news/equities-strong-earnings-offset-middle-east-risks-danske-bank-202605040626</w:t>
        </w:r>
      </w:hyperlink>
      <w:r>
        <w:t xml:space="preserve"> - Please view link - unable to able to access data</w:t>
      </w:r>
      <w:r/>
    </w:p>
    <w:p>
      <w:pPr>
        <w:pStyle w:val="ListNumber"/>
        <w:spacing w:line="240" w:lineRule="auto"/>
        <w:ind w:left="720"/>
      </w:pPr>
      <w:r/>
      <w:hyperlink r:id="rId9">
        <w:r>
          <w:rPr>
            <w:color w:val="0000EE"/>
            <w:u w:val="single"/>
          </w:rPr>
          <w:t>https://www.fxstreet.com/news/equities-strong-earnings-offset-middle-east-risks-danske-bank-202605040626</w:t>
        </w:r>
      </w:hyperlink>
      <w:r>
        <w:t xml:space="preserve"> - Danske Bank's research team reports that equities ended the previous week higher, led by technology and growth sectors, despite concerns over Iran-related risks and rising oil prices. They observe a return of the negative correlation between equities and bonds, with yields rising alongside stocks. The strong earnings momentum is seen as providing potential upside risk, even amid geopolitical uncertainties.</w:t>
      </w:r>
      <w:r/>
    </w:p>
    <w:p>
      <w:pPr>
        <w:pStyle w:val="ListNumber"/>
        <w:spacing w:line="240" w:lineRule="auto"/>
        <w:ind w:left="720"/>
      </w:pPr>
      <w:r/>
      <w:hyperlink r:id="rId13">
        <w:r>
          <w:rPr>
            <w:color w:val="0000EE"/>
            <w:u w:val="single"/>
          </w:rPr>
          <w:t>https://www.fxstreet.com/news/equities-markets-price-future-middle-east-de-escalation-danske-bank-202604070750</w:t>
        </w:r>
      </w:hyperlink>
      <w:r>
        <w:t xml:space="preserve"> - Danske Bank analysts note that global equities are approximately 4% above recent lows, with investors increasingly pricing in a future de-escalation in the Middle East. Cyclical sectors have outperformed, and volatility has declined across regions and asset classes. Markets are attempting to look beyond near-term geopolitical noise while monitoring movements in the US and Asia.</w:t>
      </w:r>
      <w:r/>
    </w:p>
    <w:p>
      <w:pPr>
        <w:pStyle w:val="ListNumber"/>
        <w:spacing w:line="240" w:lineRule="auto"/>
        <w:ind w:left="720"/>
      </w:pPr>
      <w:r/>
      <w:hyperlink r:id="rId10">
        <w:r>
          <w:rPr>
            <w:color w:val="0000EE"/>
            <w:u w:val="single"/>
          </w:rPr>
          <w:t>https://www.fxstreet.com/news/equities-earnings-resilience-and-oil-risk-bny-202604240801/</w:t>
        </w:r>
      </w:hyperlink>
      <w:r>
        <w:t xml:space="preserve"> - BNY's Bob Savage highlights that Q1 S&amp;P 500 earnings are strong, but the upside versus expectations is modest, with uneven Q2 and full-year guidance. Sector leadership is concentrated in semiconductors, AI-linked companies, and parts of energy, while defense lags. Elevated dispersion, oil volatility, and geopolitical uncertainty could keep equity markets selective through the rest of the quarter.</w:t>
      </w:r>
      <w:r/>
    </w:p>
    <w:p>
      <w:pPr>
        <w:pStyle w:val="ListNumber"/>
        <w:spacing w:line="240" w:lineRule="auto"/>
        <w:ind w:left="720"/>
      </w:pPr>
      <w:r/>
      <w:hyperlink r:id="rId14">
        <w:r>
          <w:rPr>
            <w:color w:val="0000EE"/>
            <w:u w:val="single"/>
          </w:rPr>
          <w:t>https://www.fxstreet.com/news/usd-fed-risks-and-middle-east-tensions-mufg-202604291423</w:t>
        </w:r>
      </w:hyperlink>
      <w:r>
        <w:t xml:space="preserve"> - MUFG's Derek Halpenny notes that the US Dollar is broadly steady as resilient US equities and strong earnings temper risk aversion, despite escalating Middle East tensions and a prolonged closure of the Strait of Hormuz. He expects Fed Chair Powell to sound somewhat more hawkish, with rising front-end US yields reinforcing improving Dollar demand and building EUR/USD downside and USD/JPY upside risks.</w:t>
      </w:r>
      <w:r/>
    </w:p>
    <w:p>
      <w:pPr>
        <w:pStyle w:val="ListNumber"/>
        <w:spacing w:line="240" w:lineRule="auto"/>
        <w:ind w:left="720"/>
      </w:pPr>
      <w:r/>
      <w:hyperlink r:id="rId12">
        <w:r>
          <w:rPr>
            <w:color w:val="0000EE"/>
            <w:u w:val="single"/>
          </w:rPr>
          <w:t>https://www.fxstreet.com/news/equities-peace-trade-lifts-growth-and-cyclicals-danske-bank-202604150627</w:t>
        </w:r>
      </w:hyperlink>
      <w:r>
        <w:t xml:space="preserve"> - Danske Bank's research team observes that global equities extended gains, pushing MSCI World above pre-war levels, driven by strong earnings revisions. Growth and cyclical stocks outperformed value and defensives, with small caps also participating. Europe and Nordic markets benefited more from the peace trade due to their greater exposure to Iran-driven energy prices.</w:t>
      </w:r>
      <w:r/>
    </w:p>
    <w:p>
      <w:pPr>
        <w:pStyle w:val="ListNumber"/>
        <w:spacing w:line="240" w:lineRule="auto"/>
        <w:ind w:left="720"/>
      </w:pPr>
      <w:r/>
      <w:hyperlink r:id="rId11">
        <w:r>
          <w:rPr>
            <w:color w:val="0000EE"/>
            <w:u w:val="single"/>
          </w:rPr>
          <w:t>https://www.fxstreet.com/news/equities-correlated-rally-faces-macro-headwinds-bny-202604170849</w:t>
        </w:r>
      </w:hyperlink>
      <w:r>
        <w:t xml:space="preserve"> - BNY's Head of Markets Macro Strategy, Bob Savage, notes that global equities have rebounded to near-record levels on strong Q1 earnings optimism and a ceasefire-driven improvement in risk sentiment. However, he stresses that elevated cross-asset correlations with the US Dollar, oil, and bonds, plus shifting expectations toward tighter monetary policy, complicate equity allocation and cloud the risk-free rate anchor underpinning valuations in the US, Europe, and Asia.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equities-strong-earnings-offset-middle-east-risks-danske-bank-202605040626" TargetMode="External"/><Relationship Id="rId10" Type="http://schemas.openxmlformats.org/officeDocument/2006/relationships/hyperlink" Target="https://www.fxstreet.com/news/equities-earnings-resilience-and-oil-risk-bny-202604240801/" TargetMode="External"/><Relationship Id="rId11" Type="http://schemas.openxmlformats.org/officeDocument/2006/relationships/hyperlink" Target="https://www.fxstreet.com/news/equities-correlated-rally-faces-macro-headwinds-bny-202604170849" TargetMode="External"/><Relationship Id="rId12" Type="http://schemas.openxmlformats.org/officeDocument/2006/relationships/hyperlink" Target="https://www.fxstreet.com/news/equities-peace-trade-lifts-growth-and-cyclicals-danske-bank-202604150627" TargetMode="External"/><Relationship Id="rId13" Type="http://schemas.openxmlformats.org/officeDocument/2006/relationships/hyperlink" Target="https://www.fxstreet.com/news/equities-markets-price-future-middle-east-de-escalation-danske-bank-202604070750" TargetMode="External"/><Relationship Id="rId14" Type="http://schemas.openxmlformats.org/officeDocument/2006/relationships/hyperlink" Target="https://www.fxstreet.com/news/usd-fed-risks-and-middle-east-tensions-mufg-20260429142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