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Matador Resources boosts leadership amid market concerns over earnings resilience and oil volatility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Matador Resources has stepped up its leadership bench at a time when the market is questioning how much cushion the company has against weaker earnings and volatile oil prices. In April 2026, the Texas-based producer promoted Christopher P. Calvert to chief financial officer and Glenn W. Stetson to chief operating officer, moves that bring two long-serving executives into more prominent roles as the company tries to keep its growth plan and shareholder returns on track.</w:t>
      </w:r>
      <w:r/>
    </w:p>
    <w:p>
      <w:r/>
      <w:r>
        <w:t>According to Matador, the board also approved another quarterly cash dividend of $0.375 a share, payable on June 5, 2026, to investors on record as of May 8. The payout extends a pattern of steady cash distributions and reinforces management's message that it intends to keep returning capital while pursuing its operating strategy. Matador, which focuses on the Delaware Basin and also runs midstream assets, has tried to pair production growth with infrastructure expansion.</w:t>
      </w:r>
      <w:r/>
    </w:p>
    <w:p>
      <w:r/>
      <w:r>
        <w:t>The leadership reshuffle is notable because it places a finance leader with deep operational experience at the centre of capital allocation decisions. Calvert, who joined Matador in 2014 and previously served as chief operating officer, now takes over the finance brief just as the company faces softer earnings expectations, while Stetson moves up after more than a decade overseeing production. As disclosed in Matador's SEC filing, both executives have spent roughly 20 years in the industry, suggesting the company is opting for continuity rather than a broad reset.</w:t>
      </w:r>
      <w:r/>
    </w:p>
    <w:p>
      <w:r/>
      <w:r>
        <w:t>That continuity may matter if oil markets remain unsettled. Simply Wall St said investors are still weighing Matador's exposure to commodity swings, regulation and decarbonisation pressures against the potential for its midstream build-out to support long-term earnings. Its narrative projects revenue of about $4.2bn and earnings of $991.5m by 2029, although the stock's recent pullback shows how quickly geopolitical developments can reshape sentiment around producers with heavy exposure to crude prices.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[7]</w:t>
        </w:r>
      </w:hyperlink>
      <w:r>
        <w:t xml:space="preserve">- Paragraph 3: </w:t>
      </w:r>
      <w:hyperlink r:id="rId10">
        <w:r>
          <w:rPr>
            <w:color w:val="0000EE"/>
            <w:u w:val="single"/>
          </w:rPr>
          <w:t>[4]</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https://simplywall.st/stocks/us/energy/nyse-mtdr/matador-resources/news/how-investors-are-reacting-to-matador-resources-mtdr-leaders</w:t>
        </w:r>
      </w:hyperlink>
      <w:r>
        <w:t xml:space="preserve"> - Please view link - unable to able to access data</w:t>
      </w:r>
      <w:r/>
    </w:p>
    <w:p>
      <w:pPr>
        <w:pStyle w:val="ListNumber"/>
        <w:spacing w:line="240" w:lineRule="auto"/>
        <w:ind w:left="720"/>
      </w:pPr>
      <w:r/>
      <w:hyperlink r:id="rId12">
        <w:r>
          <w:rPr>
            <w:color w:val="0000EE"/>
            <w:u w:val="single"/>
          </w:rPr>
          <w:t>https://www.matadorresources.com/news-releases/news-release-details/matador-resources-company-declares-quarterly-cash-dividend-15</w:t>
        </w:r>
      </w:hyperlink>
      <w:r>
        <w:t xml:space="preserve"> - Matador Resources Company announced a quarterly cash dividend of $0.375 per share, payable on June 5, 2026, to shareholders of record as of May 8, 2026. This decision reflects the company's commitment to returning value to shareholders and underscores its strong financial position. The dividend is consistent with Matador's previous payouts, maintaining a steady return for investors. The company continues to focus on delivering shareholder value while pursuing its strategic growth initiatives in the energy sector.</w:t>
      </w:r>
      <w:r/>
    </w:p>
    <w:p>
      <w:pPr>
        <w:pStyle w:val="ListNumber"/>
        <w:spacing w:line="240" w:lineRule="auto"/>
        <w:ind w:left="720"/>
      </w:pPr>
      <w:r/>
      <w:hyperlink r:id="rId13">
        <w:r>
          <w:rPr>
            <w:color w:val="0000EE"/>
            <w:u w:val="single"/>
          </w:rPr>
          <w:t>https://www.matadorresources.com/stock-information/dividends-splits</w:t>
        </w:r>
      </w:hyperlink>
      <w:r>
        <w:t xml:space="preserve"> - Matador Resources Company provides detailed information on its dividend history and stock splits. The most recent dividend, declared on April 22, 2026, is $0.375 per share, payable on June 5, 2026, to shareholders of record as of May 8, 2026. This section offers a comprehensive overview of the company's dividend declarations, ex-dividend dates, record dates, and payment dates, allowing investors to track the company's commitment to returning value to shareholders over time.</w:t>
      </w:r>
      <w:r/>
    </w:p>
    <w:p>
      <w:pPr>
        <w:pStyle w:val="ListNumber"/>
        <w:spacing w:line="240" w:lineRule="auto"/>
        <w:ind w:left="720"/>
      </w:pPr>
      <w:r/>
      <w:hyperlink r:id="rId10">
        <w:r>
          <w:rPr>
            <w:color w:val="0000EE"/>
            <w:u w:val="single"/>
          </w:rPr>
          <w:t>https://marketinference.com/analysis/r/2026/04/28/MTDR/</w:t>
        </w:r>
      </w:hyperlink>
      <w:r>
        <w:t xml:space="preserve"> - Matador Resources Company promoted Christopher P. Calvert to Executive Vice President and Chief Financial Officer, and Glenn W. Stetson to Executive Vice President and Chief Operating Officer, effective April 21, 2026. Calvert, who joined Matador in October 2014, previously served as Executive Vice President and Chief Operating Officer. Stetson, who joined in August 2014, was Executive Vice President of Production. These promotions aim to strengthen the company's leadership team and support its strategic growth initiatives.</w:t>
      </w:r>
      <w:r/>
    </w:p>
    <w:p>
      <w:pPr>
        <w:pStyle w:val="ListNumber"/>
        <w:spacing w:line="240" w:lineRule="auto"/>
        <w:ind w:left="720"/>
      </w:pPr>
      <w:r/>
      <w:hyperlink r:id="rId11">
        <w:r>
          <w:rPr>
            <w:color w:val="0000EE"/>
            <w:u w:val="single"/>
          </w:rPr>
          <w:t>https://www.sec.gov/Archives/edgar/data/1520006/000152000626000008/a20260427mtdr8-kexhibit991.htm</w:t>
        </w:r>
      </w:hyperlink>
      <w:r>
        <w:t xml:space="preserve"> - Matador Resources Company announced leadership promotions effective April 21, 2026. Christopher P. Calvert has been promoted to Executive Vice President and Chief Financial Officer, and Glenn W. Stetson to Executive Vice President and Chief Operating Officer. Both executives have over ten years of experience at Matador and approximately 20 years in the industry. These changes are expected to enhance the company's focus on execution, efficiency, and long-term value creation.</w:t>
      </w:r>
      <w:r/>
    </w:p>
    <w:p>
      <w:pPr>
        <w:pStyle w:val="ListNumber"/>
        <w:spacing w:line="240" w:lineRule="auto"/>
        <w:ind w:left="720"/>
      </w:pPr>
      <w:r/>
      <w:hyperlink r:id="rId9">
        <w:r>
          <w:rPr>
            <w:color w:val="0000EE"/>
            <w:u w:val="single"/>
          </w:rPr>
          <w:t>https://simplywall.st/stocks/us/energy/nyse-mtdr/matador-resources/news/how-investors-are-reacting-to-matador-resources-mtdr-leaders</w:t>
        </w:r>
      </w:hyperlink>
      <w:r>
        <w:t xml:space="preserve"> - In April 2026, Matador Resources Company promoted Christopher P. Calvert to Executive Vice President and Chief Financial Officer and Glenn W. Stetson to Executive Vice President and Chief Operating Officer. The board also approved a quarterly cash dividend of $0.375 per share, payable on June 5, 2026. These leadership changes and continued cash returns to shareholders come as Matador faces softer earnings expectations and heightened sensitivity to global oil price movements driven by geopolitical developments.</w:t>
      </w:r>
      <w:r/>
    </w:p>
    <w:p>
      <w:pPr>
        <w:pStyle w:val="ListNumber"/>
        <w:spacing w:line="240" w:lineRule="auto"/>
        <w:ind w:left="720"/>
      </w:pPr>
      <w:r/>
      <w:hyperlink r:id="rId14">
        <w:r>
          <w:rPr>
            <w:color w:val="0000EE"/>
            <w:u w:val="single"/>
          </w:rPr>
          <w:t>https://www.matadorresources.com/</w:t>
        </w:r>
      </w:hyperlink>
      <w:r>
        <w:t xml:space="preserve"> - Matador Resources Company is an independent energy company engaged in the exploration, development, production, and acquisition of oil and natural gas resources in the United States. The company focuses on the oil and liquids-rich portion of the Wolfcamp and Bone Spring plays in the Delaware Basin in Southeast New Mexico and West Texas. Matador also operates in the Haynesville shale and Cotton Valley plays in Northwest Louisiana, and conducts midstream operations to support its exploration and production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energy/nyse-mtdr/matador-resources/news/how-investors-are-reacting-to-matador-resources-mtdr-leaders" TargetMode="External"/><Relationship Id="rId10" Type="http://schemas.openxmlformats.org/officeDocument/2006/relationships/hyperlink" Target="https://marketinference.com/analysis/r/2026/04/28/MTDR/" TargetMode="External"/><Relationship Id="rId11" Type="http://schemas.openxmlformats.org/officeDocument/2006/relationships/hyperlink" Target="https://www.sec.gov/Archives/edgar/data/1520006/000152000626000008/a20260427mtdr8-kexhibit991.htm" TargetMode="External"/><Relationship Id="rId12" Type="http://schemas.openxmlformats.org/officeDocument/2006/relationships/hyperlink" Target="https://www.matadorresources.com/news-releases/news-release-details/matador-resources-company-declares-quarterly-cash-dividend-15" TargetMode="External"/><Relationship Id="rId13" Type="http://schemas.openxmlformats.org/officeDocument/2006/relationships/hyperlink" Target="https://www.matadorresources.com/stock-information/dividends-splits" TargetMode="External"/><Relationship Id="rId14" Type="http://schemas.openxmlformats.org/officeDocument/2006/relationships/hyperlink" Target="https://www.matadorresources.co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