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Middle East conflict threatens to disrupt APAC corporate credit outlook into 2026, warns Fitch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Fitch says the Middle East conflict could weigh on Asia-Pacific corporate credit in the second half of 2026, with higher oil and gas costs, shipping delays and weaker trade flows likely to hit a wide range of sectors even if the fighting ends before then. In its first APAC Corporates Credit Trends Monitor, the ratings agency said the shock may take time to work through the energy market, logistics networks and consumer sentiment, leaving lingering pressure on businesses well into the latter part of the year.</w:t>
      </w:r>
      <w:r/>
    </w:p>
    <w:p>
      <w:r/>
      <w:r>
        <w:t>The warning comes against a broader backdrop of geopolitical strain that the International Monetary Fund says is already disturbing energy production, exports, air traffic, logistics and financial markets across the Middle East and nearby regions. In an April outlook, the IMF said prolonged hostilities could keep energy prices elevated, deepen trade disruptions and sap confidence, reinforcing the risk that the economic fallout extends beyond the immediate conflict zone.</w:t>
      </w:r>
      <w:r/>
    </w:p>
    <w:p>
      <w:r/>
      <w:r>
        <w:t>Fitch also pointed to continuing tariff uncertainty, sanctions and shifting trade patterns across Asia, with "China+1" diversification and stronger intra-Asian commerce redirecting production towards Vietnam, Malaysia, India and Indonesia. At the same time, the agency said growth across the region is increasingly uneven: China is still grappling with weak domestic demand, intense price competition and excess capacity, while India and parts of South-East Asia are being supported by infrastructure spending and firmer household consumption.</w:t>
      </w:r>
      <w:r/>
    </w:p>
    <w:p>
      <w:r/>
      <w:r>
        <w:t>Despite those headwinds, Fitch expects APAC corporate earnings to hold up better than might be expected. The agency said aggregate EBITDA margins should rise above 15% in 2026, helped by moderating capital spending in some industries, although free cash flow is still projected to remain negative. The main risk to that view is a fresh surge in energy and commodity prices, which Fitch said could stay above pre-conflict levels well into the second half of the year.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https://www.businesstoday.com.my/2026/05/04/middle-east-conflict-to-strain-apac-economy-corporates-in-2h26-says-fitch/?utm_source=rss&amp;utm_medium=rss&amp;utm_campaign=middle-east-conflict-to-strain-apac-economy-corporates-in-2h26-says-fitch</w:t>
        </w:r>
      </w:hyperlink>
      <w:r>
        <w:t xml:space="preserve"> - Please view link - unable to able to access data</w:t>
      </w:r>
      <w:r/>
    </w:p>
    <w:p>
      <w:pPr>
        <w:pStyle w:val="ListNumber"/>
        <w:spacing w:line="240" w:lineRule="auto"/>
        <w:ind w:left="720"/>
      </w:pPr>
      <w:r/>
      <w:hyperlink r:id="rId10">
        <w:r>
          <w:rPr>
            <w:color w:val="0000EE"/>
            <w:u w:val="single"/>
          </w:rPr>
          <w:t>https://www.imf.org/en/publications/reo/meca/issues/2026/04/16/regional-economic-outlook-middle-east-central-asia-april-2026</w:t>
        </w:r>
      </w:hyperlink>
      <w:r>
        <w:t xml:space="preserve"> - The International Monetary Fund's April 2026 Regional Economic Outlook examines the economic effects of the Middle East conflict on the Middle East, North Africa, Afghanistan, and Pakistan (MENAP), as well as spillovers to the Caucasus and Central Asia (CCA). The report highlights disruptions to energy production and exports, air traffic, logistics, and financial markets, noting that prolonged hostilities could sustain elevated energy prices, deepen trade disruptions, compress confidence, and erode fiscal space in the region. It underscores the need for disciplined yet agile policy responses to mitigate the impact of the shock.</w:t>
      </w:r>
      <w:r/>
    </w:p>
    <w:p>
      <w:pPr>
        <w:pStyle w:val="ListNumber"/>
        <w:spacing w:line="240" w:lineRule="auto"/>
        <w:ind w:left="720"/>
      </w:pPr>
      <w:r/>
      <w:hyperlink r:id="rId11">
        <w:r>
          <w:rPr>
            <w:color w:val="0000EE"/>
            <w:u w:val="single"/>
          </w:rPr>
          <w:t>https://www.imf.org/en/blogs/articles/2026/03/30/how-the-war-in-the-middle-east-is-affecting-energy-trade-and-finance</w:t>
        </w:r>
      </w:hyperlink>
      <w:r>
        <w:t xml:space="preserve"> - This IMF blog post discusses the global economic impact of the Middle East conflict, focusing on disruptions to energy prices, supply chains, and financial markets. It notes that energy importers are more exposed than exporters, and poorer countries more than richer ones. The post highlights the serious disruption to the economies of the most directly affected countries, including damage to infrastructure and industries that could become long-lasting. The IMF cautions that the global economy faces a tougher recovery than after the 2022 energy shock, with potential long-term ripple effects.</w:t>
      </w:r>
      <w:r/>
    </w:p>
    <w:p>
      <w:pPr>
        <w:pStyle w:val="ListNumber"/>
        <w:spacing w:line="240" w:lineRule="auto"/>
        <w:ind w:left="720"/>
      </w:pPr>
      <w:r/>
      <w:hyperlink r:id="rId12">
        <w:r>
          <w:rPr>
            <w:color w:val="0000EE"/>
            <w:u w:val="single"/>
          </w:rPr>
          <w:t>https://www.imf.org/en/blogs/articles/2026/04/14/war-in-the-middle-east-challenges-global-financial-stability</w:t>
        </w:r>
      </w:hyperlink>
      <w:r>
        <w:t xml:space="preserve"> - In this article, the IMF discusses how the Middle East conflict challenges global financial stability. It notes that while markets have absorbed the shock with a degree of resilience, financial stability risks are elevated. The article highlights that global markets reacted swiftly following the outbreak of hostilities, with declines in asset prices and increased volatility. The IMF emphasizes the need for vigilant monitoring and proactive policy responses to maintain financial stability amid the ongoing conflict.</w:t>
      </w:r>
      <w:r/>
    </w:p>
    <w:p>
      <w:pPr>
        <w:pStyle w:val="ListNumber"/>
        <w:spacing w:line="240" w:lineRule="auto"/>
        <w:ind w:left="720"/>
      </w:pPr>
      <w:r/>
      <w:hyperlink r:id="rId13">
        <w:r>
          <w:rPr>
            <w:color w:val="0000EE"/>
            <w:u w:val="single"/>
          </w:rPr>
          <w:t>https://www.imf.org/en/blogs/articles/2026/04/14/war-darkens-global-economic-outlook-and-reshapes-policy-priorities</w:t>
        </w:r>
      </w:hyperlink>
      <w:r>
        <w:t xml:space="preserve"> - This IMF blog post examines how the Middle East conflict has halted global economic momentum and reshaped policy priorities. It notes that the conflict has led to a major energy crisis, with the closing of the Strait of Hormuz and damage to critical facilities in a region central to global hydrocarbon supply. The post discusses the need for the right policies and stronger global cooperation to contain the damage and highlights the importance of addressing the conflict's economic repercussions to support global economic recovery.</w:t>
      </w:r>
      <w:r/>
    </w:p>
    <w:p>
      <w:pPr>
        <w:pStyle w:val="ListNumber"/>
        <w:spacing w:line="240" w:lineRule="auto"/>
        <w:ind w:left="720"/>
      </w:pPr>
      <w:r/>
      <w:hyperlink r:id="rId14">
        <w:r>
          <w:rPr>
            <w:color w:val="0000EE"/>
            <w:u w:val="single"/>
          </w:rPr>
          <w:t>https://www.bworldonline.com/banking-finance/2026/04/13/742192/middle-east-conflict-may-erode-philippine-banks-asset-quality-fitch-ratings/</w:t>
        </w:r>
      </w:hyperlink>
      <w:r>
        <w:t xml:space="preserve"> - Fitch Ratings has warned that the ongoing Middle East conflict could erode the asset quality of Philippine banks. The agency expects banks in South and Southeast Asia to face credit risks as the conflict continues, which could affect their borrowers. Higher energy prices, supply-chain disruptions, and weaker remittance flows are identified as key factors that could weigh on emerging-market banking systems. Fitch notes that asset-quality pressure would likely appear first in vulnerable retail, micro-enterprise, and small and medium-sized enterprise (SME) loan books.</w:t>
      </w:r>
      <w:r/>
    </w:p>
    <w:p>
      <w:pPr>
        <w:pStyle w:val="ListNumber"/>
        <w:spacing w:line="240" w:lineRule="auto"/>
        <w:ind w:left="720"/>
      </w:pPr>
      <w:r/>
      <w:hyperlink r:id="rId15">
        <w:r>
          <w:rPr>
            <w:color w:val="0000EE"/>
            <w:u w:val="single"/>
          </w:rPr>
          <w:t>https://www.bworldonline.com/top-stories/2026/03/20/737600/fitch-middle-east-war-weighs-on-philippine-credit-rating-outlook/</w:t>
        </w:r>
      </w:hyperlink>
      <w:r>
        <w:t xml:space="preserve"> - Fitch Ratings has indicated that the ongoing Middle East conflict could weigh on the Philippines' credit rating outlook. The agency highlighted risks of stalled growth and slower fiscal consolidation amid the conflict, noting that the country is among the most exposed to disruptions. While Fitch expects the Philippine economy to recover this year from previous challenges, emerging risks from the Middle East war are likely to delay the rebound. The agency emphasizes the need for vigilant monitoring and proactive policy responses to mitigate the impact of the conflict on the country's credit profile.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oday.com.my/2026/05/04/middle-east-conflict-to-strain-apac-economy-corporates-in-2h26-says-fitch/?utm_source=rss&amp;utm_medium=rss&amp;utm_campaign=middle-east-conflict-to-strain-apac-economy-corporates-in-2h26-says-fitch" TargetMode="External"/><Relationship Id="rId10" Type="http://schemas.openxmlformats.org/officeDocument/2006/relationships/hyperlink" Target="https://www.imf.org/en/publications/reo/meca/issues/2026/04/16/regional-economic-outlook-middle-east-central-asia-april-2026" TargetMode="External"/><Relationship Id="rId11" Type="http://schemas.openxmlformats.org/officeDocument/2006/relationships/hyperlink" Target="https://www.imf.org/en/blogs/articles/2026/03/30/how-the-war-in-the-middle-east-is-affecting-energy-trade-and-finance" TargetMode="External"/><Relationship Id="rId12" Type="http://schemas.openxmlformats.org/officeDocument/2006/relationships/hyperlink" Target="https://www.imf.org/en/blogs/articles/2026/04/14/war-in-the-middle-east-challenges-global-financial-stability" TargetMode="External"/><Relationship Id="rId13" Type="http://schemas.openxmlformats.org/officeDocument/2006/relationships/hyperlink" Target="https://www.imf.org/en/blogs/articles/2026/04/14/war-darkens-global-economic-outlook-and-reshapes-policy-priorities" TargetMode="External"/><Relationship Id="rId14" Type="http://schemas.openxmlformats.org/officeDocument/2006/relationships/hyperlink" Target="https://www.bworldonline.com/banking-finance/2026/04/13/742192/middle-east-conflict-may-erode-philippine-banks-asset-quality-fitch-ratings/" TargetMode="External"/><Relationship Id="rId15" Type="http://schemas.openxmlformats.org/officeDocument/2006/relationships/hyperlink" Target="https://www.bworldonline.com/top-stories/2026/03/20/737600/fitch-middle-east-war-weighs-on-philippine-credit-rating-outloo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