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Nasdaq proposes stricter standards to curb SPAC migration to higher markets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Nasdaq is moving to make it harder for special purpose acquisition companies to come to market on its boards, with a filing that would lift the size thresholds needed for an initial listing. According to the notice filed with the Securities and Exchange Commission on April 22, the exchange wants to tighten the rules that govern SPAC admissions on the Nasdaq Global Market and the Nasdaq Capital Market, citing the unusual balance-sheet structure of these vehicles and the way they have increasingly gravitated towards higher-tier listings.</w:t>
      </w:r>
      <w:r/>
    </w:p>
    <w:p>
      <w:r/>
      <w:r>
        <w:t>The proposal comes after a shift in SPAC behaviour that market lawyers say has been building for some time. Historically, many blank-cheque companies chose the Capital Market because it was cheaper and carried lighter distribution requirements. More recently, however, a growing number have pursued the Global Market instead, in part because a 2021 SEC staff statement pushed SPACs towards accounting treatment that left many of them short of the equity levels needed for a Capital Market debut. Because SPACs have no operating business in the conventional sense, they typically cannot rely on the income or equity tests used for other issuers and instead must qualify on market-value standards.</w:t>
      </w:r>
      <w:r/>
    </w:p>
    <w:p>
      <w:r/>
      <w:r>
        <w:t>Nasdaq’s move also sits within a broader effort to toughen listing and continued-listing standards across the exchange. In September 2025, Nasdaq said it was proposing wider changes aimed at strengthening capital formation, investor protection and market integrity, including a higher minimum market value of public float for certain new listings and a faster delisting process for companies that fall below a market-value floor. In a question-and-answer session at the time, Nasdaq executive John Zecca said the changes were intended to address liquidity and trading concerns and to impose tighter limits on minimum offering size and capital raises.</w:t>
      </w:r>
      <w:r/>
    </w:p>
    <w:p>
      <w:r/>
      <w:r>
        <w:t>Law firms following the latest SPAC proposal say the exchange appears to be trying to steer these companies back towards the Capital Market by creating a SPAC-specific standard there, while also raising the bar for Global Market listings. Goodwin said the amendments would increase the minimum market value threshold for SPACs seeking the Global Market and would add a dedicated standard for the Capital Market, while also strengthening public shareholder, public float and market-maker requirements. Sichenzia Ross Ference Carmel said the draft would lift the minimum market value of listed securities for SPACs on the Global Market to at least $100 million, while preserving the 400-shareholder requirement.</w:t>
      </w:r>
      <w:r/>
    </w:p>
    <w:p>
      <w:r/>
      <w:r>
        <w:t>If adopted, the rule changes would mark another step in Nasdaq’s attempt to reshape the SPAC market after several years in which listing dynamics were distorted by regulatory and accounting changes. Ropes &amp; Gray said the proposal appears designed to draw SPACs back to the Capital Market, where Nasdaq has long expected many of them to list, rather than allowing them to migrate upward to a market tier that was never built around their financial profile.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[4]</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https://www.lexblog.com/2026/05/03/nasdaq-proposes-higher-initial-listing-requirements-for-spacs/</w:t>
        </w:r>
      </w:hyperlink>
      <w:r>
        <w:t xml:space="preserve"> - Please view link - unable to able to access data</w:t>
      </w:r>
      <w:r/>
    </w:p>
    <w:p>
      <w:pPr>
        <w:pStyle w:val="ListNumber"/>
        <w:spacing w:line="240" w:lineRule="auto"/>
        <w:ind w:left="720"/>
      </w:pPr>
      <w:r/>
      <w:hyperlink r:id="rId12">
        <w:r>
          <w:rPr>
            <w:color w:val="0000EE"/>
            <w:u w:val="single"/>
          </w:rPr>
          <w:t>https://www.nasdaq.com/press-release/nasdaq-proposes-changes-its-listing-standards-2025-09-03</w:t>
        </w:r>
      </w:hyperlink>
      <w:r>
        <w:t xml:space="preserve"> - On September 3, 2025, Nasdaq proposed enhancements to its initial and continued listing standards, aiming to strengthen capital formation, investor protection, and market integrity. The updates include a $15 million minimum market value of public float for new listings under the net income standard and an accelerated delisting process for companies with a market value of listed securities below $5 million. Additionally, a $25 million minimum public offering proceeds requirement was introduced for new listings of companies principally operating in China.</w:t>
      </w:r>
      <w:r/>
    </w:p>
    <w:p>
      <w:pPr>
        <w:pStyle w:val="ListNumber"/>
        <w:spacing w:line="240" w:lineRule="auto"/>
        <w:ind w:left="720"/>
      </w:pPr>
      <w:r/>
      <w:hyperlink r:id="rId13">
        <w:r>
          <w:rPr>
            <w:color w:val="0000EE"/>
            <w:u w:val="single"/>
          </w:rPr>
          <w:t>https://www.nasdaq.com/newsroom/qa-why-nasdaq-proposing-listing-standards-changes</w:t>
        </w:r>
      </w:hyperlink>
      <w:r>
        <w:t xml:space="preserve"> - In a Q&amp;A session on September 3, 2025, John Zecca, Nasdaq’s Executive Vice President and Global Chief Legal, Risk, &amp; Regulatory Officer, discussed proposed changes to Nasdaq’s listing standards. These changes aim to address liquidity and trading concerns by introducing tighter limits for certain companies' minimum offering size and capital raise during IPOs, as well as stricter delisting procedures for companies failing to meet Nasdaq’s continued listing standards.</w:t>
      </w:r>
      <w:r/>
    </w:p>
    <w:p>
      <w:pPr>
        <w:pStyle w:val="ListNumber"/>
        <w:spacing w:line="240" w:lineRule="auto"/>
        <w:ind w:left="720"/>
      </w:pPr>
      <w:r/>
      <w:hyperlink r:id="rId10">
        <w:r>
          <w:rPr>
            <w:color w:val="0000EE"/>
            <w:u w:val="single"/>
          </w:rPr>
          <w:t>https://www.goodwinlaw.com/en/insights/publications/2026/04/alerts-practices-pca-nasdaq-proposes-enhanced-spac-ipo-listing-standards</w:t>
        </w:r>
      </w:hyperlink>
      <w:r>
        <w:t xml:space="preserve"> - On April 29, 2026, Goodwin published an alert detailing Nasdaq's proposed rule change (SR-NASDAQ-2026-033) to increase initial listing requirements for special purpose acquisition companies (SPACs). The changes include raising the minimum market value threshold for SPACs listing on the Nasdaq Global Market and establishing a new, SPAC-specific listing standard for the Nasdaq Capital Market. Additionally, public shareholder, public float, and market maker requirements for Capital Market listings are increased, further aligning Nasdaq’s SPAC listing standards with those of the NYSE and NYSE American.</w:t>
      </w:r>
      <w:r/>
    </w:p>
    <w:p>
      <w:pPr>
        <w:pStyle w:val="ListNumber"/>
        <w:spacing w:line="240" w:lineRule="auto"/>
        <w:ind w:left="720"/>
      </w:pPr>
      <w:r/>
      <w:hyperlink r:id="rId15">
        <w:r>
          <w:rPr>
            <w:color w:val="0000EE"/>
            <w:u w:val="single"/>
          </w:rPr>
          <w:t>https://srfc.law/client-alert-nasdaq-proposes-enhanced-initial-listing-standards-for-acquisition-companies-spacs/</w:t>
        </w:r>
      </w:hyperlink>
      <w:r>
        <w:t xml:space="preserve"> - Sichenzia Ross Ference Carmel LLP's client alert, dated April 29, 2026, outlines Nasdaq's proposed rule change (SR-NASDAQ-2026-033) to tighten initial listing requirements for acquisition companies (SPACs). Key changes include modifying Listing Rule 5405(b)(3)(A) to increase the minimum Market Value of Listed Securities for SPACs listing on the Nasdaq Global Market to at least $100 million, while maintaining the requirement of 400 shareholders. For the Nasdaq Capital Market, a new Listing Rule 5505(b)(4) will be introduced, though specific details are not provided in the alert.</w:t>
      </w:r>
      <w:r/>
    </w:p>
    <w:p>
      <w:pPr>
        <w:pStyle w:val="ListNumber"/>
        <w:spacing w:line="240" w:lineRule="auto"/>
        <w:ind w:left="720"/>
      </w:pPr>
      <w:r/>
      <w:hyperlink r:id="rId11">
        <w:r>
          <w:rPr>
            <w:color w:val="0000EE"/>
            <w:u w:val="single"/>
          </w:rPr>
          <w:t>https://www.ropesgray.com/en/insights/alerts/2026/04/new-nasdaq-rule-appears-intended-to-bring-spacs-back-to-the-nasdaq-capital-market</w:t>
        </w:r>
      </w:hyperlink>
      <w:r>
        <w:t xml:space="preserve"> - Ropes &amp; Gray LLP's alert, dated April 24, 2026, discusses Nasdaq's amendments to rules increasing initial listing requirements for SPACs. The amendments are driven by a trend of SPACs seeking to list on the Nasdaq Global Market, partly due to SEC accounting guidance affecting SPAC balance sheets and limiting their ability to meet existing equity-based standards for the Nasdaq Capital Market. The new rule appears intended to bring SPACs back to the Nasdaq Capital Market.</w:t>
      </w:r>
      <w:r/>
    </w:p>
    <w:p>
      <w:pPr>
        <w:pStyle w:val="ListNumber"/>
        <w:spacing w:line="240" w:lineRule="auto"/>
        <w:ind w:left="720"/>
      </w:pPr>
      <w:r/>
      <w:hyperlink r:id="rId14">
        <w:r>
          <w:rPr>
            <w:color w:val="0000EE"/>
            <w:u w:val="single"/>
          </w:rPr>
          <w:t>https://corpgov.law.harvard.edu/2025/11/09/nasdaq-proposes-stricter-initial-and-continued-listing-standards/</w:t>
        </w:r>
      </w:hyperlink>
      <w:r>
        <w:t xml:space="preserve"> - Harvard Law School's Forum on Corporate Governance published an article on November 9, 2025, detailing Nasdaq's proposed changes to its initial and continued listing standards. The proposals include a $15 million minimum market value of unrestricted publicly held shares for new listings under the net income standard and an accelerated delisting process for companies with a market value of listed securities below $5 million. Additionally, a $25 million minimum public offering proceeds requirement is proposed for new listings of companies principally operating in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xblog.com/2026/05/03/nasdaq-proposes-higher-initial-listing-requirements-for-spacs/" TargetMode="External"/><Relationship Id="rId10" Type="http://schemas.openxmlformats.org/officeDocument/2006/relationships/hyperlink" Target="https://www.goodwinlaw.com/en/insights/publications/2026/04/alerts-practices-pca-nasdaq-proposes-enhanced-spac-ipo-listing-standards" TargetMode="External"/><Relationship Id="rId11" Type="http://schemas.openxmlformats.org/officeDocument/2006/relationships/hyperlink" Target="https://www.ropesgray.com/en/insights/alerts/2026/04/new-nasdaq-rule-appears-intended-to-bring-spacs-back-to-the-nasdaq-capital-market" TargetMode="External"/><Relationship Id="rId12" Type="http://schemas.openxmlformats.org/officeDocument/2006/relationships/hyperlink" Target="https://www.nasdaq.com/press-release/nasdaq-proposes-changes-its-listing-standards-2025-09-03" TargetMode="External"/><Relationship Id="rId13" Type="http://schemas.openxmlformats.org/officeDocument/2006/relationships/hyperlink" Target="https://www.nasdaq.com/newsroom/qa-why-nasdaq-proposing-listing-standards-changes" TargetMode="External"/><Relationship Id="rId14" Type="http://schemas.openxmlformats.org/officeDocument/2006/relationships/hyperlink" Target="https://corpgov.law.harvard.edu/2025/11/09/nasdaq-proposes-stricter-initial-and-continued-listing-standards/" TargetMode="External"/><Relationship Id="rId15" Type="http://schemas.openxmlformats.org/officeDocument/2006/relationships/hyperlink" Target="https://srfc.law/client-alert-nasdaq-proposes-enhanced-initial-listing-standards-for-acquisition-companies-spac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