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Northland’s cautious forecast casts shadow over Piper Sandler despite record earnings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Piper Sandler shares came under fresh scrutiny on Monday after Northland Securities trimmed its earnings forecast for the investment bank’s first quarter of 2027, even as it kept an Outperform rating and a target price of $87.50. Analyst M. Grondahl now expects earnings of $1.17 a share, down from a prior estimate of $1.26, according to MarketBeat’s report.</w:t>
      </w:r>
      <w:r/>
    </w:p>
    <w:p>
      <w:r/>
      <w:r>
        <w:t>The revision follows a strong latest quarter from Piper Sandler, which beat expectations when it reported adjusted diluted earnings per share of $1.00 on revenue of $474.41 million. MarketBeat said that topped Wall Street’s forecasts and marked a 32.7% increase in revenue from a year earlier, helped by record corporate investment banking revenue of $324 million and first-quarter advisory revenue of $251 million.</w:t>
      </w:r>
      <w:r/>
    </w:p>
    <w:p>
      <w:r/>
      <w:r>
        <w:t>The company also returned $171 million to shareholders during the period, including about 884,000 shares repurchased for $70 million, and lifted its quarterly cash dividend to $0.20 a share. TradingView said the board’s new payout followed first-quarter 2026 net revenues of $474.4 million and adjusted net income of $71.9 million, or $1.00 a share, while the company also completed a four-for-one stock split effective March 24.</w:t>
      </w:r>
      <w:r/>
    </w:p>
    <w:p>
      <w:r/>
      <w:r>
        <w:t>Even with Northland’s reduced near-term estimate, the broader analyst picture remains mixed rather than sharply negative. MarketBeat noted that three analysts rate the stock a Buy, three rate it Hold and one rates it Sell, leaving the consensus at Hold with an average target price of $95.06. Other firms have recently cut their views as well, including Zacks Research and Wall Street Zen, while Bank of America has an Underperform rating and Goldman Sachs still has a Buy call in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https://www.marketbeat.com/instant-alerts/what-is-northland-securities-forecast-for-pipr-q1-earnings-2026-05-04/</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https://www.marketbeat.com/instant-alerts/what-is-northland-securities-forecast-for-pipr-q1-earnings-2026-05-04/</w:t>
        </w:r>
      </w:hyperlink>
      <w:r>
        <w:t xml:space="preserve"> - Northland Securities has revised its earnings estimates for Piper Sandler Companies (NYSE: PIPR) for the first quarter of 2027. Analyst M. Grondahl now anticipates earnings of $1.17 per share, down from the previous estimate of $1.26. The 'Outperform' rating remains, with a target price of $87.50. The consensus estimate for the full year 2027 is $4.68 per share. Northland Securities has also provided estimates for subsequent quarters: Q2 2027 at $1.26 EPS, Q3 2027 at $1.34 EPS, Q4 2027 at $1.46 EPS, and FY2027 at $5.22 EPS.</w:t>
      </w:r>
      <w:r/>
    </w:p>
    <w:p>
      <w:pPr>
        <w:pStyle w:val="ListNumber"/>
        <w:spacing w:line="240" w:lineRule="auto"/>
        <w:ind w:left="720"/>
      </w:pPr>
      <w:r/>
      <w:hyperlink r:id="rId10">
        <w:r>
          <w:rPr>
            <w:color w:val="0000EE"/>
            <w:u w:val="single"/>
          </w:rPr>
          <w:t>https://www.marketbeat.com/instant-alerts/piper-sandler-companies-q1-earnings-call-highlights-2026-05-02/</w:t>
        </w:r>
      </w:hyperlink>
      <w:r>
        <w:t xml:space="preserve"> - Piper Sandler Companies reported strong first-quarter results, with adjusted net revenues of $470 million, marking the 10th consecutive year-over-year growth. The operating margin stood at 20%, and adjusted diluted earnings per share were $1.00. Corporate investment banking revenues reached a record $324 million, up 30% year-over-year, while advisory revenues hit a first-quarter record of $251 million, up 16% year-over-year. The firm returned $171 million to shareholders, including approximately 884,000 shares repurchased for $70 million, and increased the quarterly cash dividend by 14% to $0.20 per share. (</w:t>
      </w:r>
      <w:hyperlink r:id="rId14">
        <w:r>
          <w:rPr>
            <w:color w:val="0000EE"/>
            <w:u w:val="single"/>
          </w:rPr>
          <w:t>marketbeat.com</w:t>
        </w:r>
      </w:hyperlink>
      <w:r>
        <w:t>)</w:t>
      </w:r>
      <w:r/>
    </w:p>
    <w:p>
      <w:pPr>
        <w:pStyle w:val="ListNumber"/>
        <w:spacing w:line="240" w:lineRule="auto"/>
        <w:ind w:left="720"/>
      </w:pPr>
      <w:r/>
      <w:hyperlink r:id="rId11">
        <w:r>
          <w:rPr>
            <w:color w:val="0000EE"/>
            <w:u w:val="single"/>
          </w:rPr>
          <w:t>https://www.marketbeat.com/instant-alerts/piper-sandler-companies-nysepipr-issues-earnings-results-2026-05-02/</w:t>
        </w:r>
      </w:hyperlink>
      <w:r>
        <w:t xml:space="preserve"> - Piper Sandler Companies exceeded expectations with earnings per share of $1.00, surpassing the consensus estimate of $0.91. The company reported revenue of $474.41 million, a 32.7% increase compared to the same quarter last year. This growth was driven by record corporate investment banking revenues of $324 million and advisory revenues of $251 million. The firm returned $171 million to shareholders, including approximately 884,000 shares repurchased for $70 million, and raised the quarterly cash dividend to $0.20 per share. (</w:t>
      </w:r>
      <w:hyperlink r:id="rId15">
        <w:r>
          <w:rPr>
            <w:color w:val="0000EE"/>
            <w:u w:val="single"/>
          </w:rPr>
          <w:t>marketbeat.com</w:t>
        </w:r>
      </w:hyperlink>
      <w:r>
        <w:t>)</w:t>
      </w:r>
      <w:r/>
    </w:p>
    <w:p>
      <w:pPr>
        <w:pStyle w:val="ListNumber"/>
        <w:spacing w:line="240" w:lineRule="auto"/>
        <w:ind w:left="720"/>
      </w:pPr>
      <w:r/>
      <w:hyperlink r:id="rId16">
        <w:r>
          <w:rPr>
            <w:color w:val="0000EE"/>
            <w:u w:val="single"/>
          </w:rPr>
          <w:t>https://www.marketbeat.com/instant-alerts/northland-securities-lifts-earnings-estimates-for-formfactor-2026-05-04/</w:t>
        </w:r>
      </w:hyperlink>
      <w:r>
        <w:t xml:space="preserve"> - Northland Securities has raised its earnings per share estimate for FormFactor for the first quarter of 2027 to $0.45, up from the previous estimate of $0.39. The Q2 2027 estimate is set at $0.49. This adjustment follows FormFactor's Q1 earnings per share of $0.56 and approximately 32% year-over-year revenue growth. Analyst sentiment is mixed, with Citigroup lifting its price target to $165 with a 'buy' rating, while the MarketBeat consensus remains a 'Hold' with a $121.55 target. The stock's elevated forward P/E ratio of approximately 158 raises valuation concerns. (</w:t>
      </w:r>
      <w:hyperlink r:id="rId17">
        <w:r>
          <w:rPr>
            <w:color w:val="0000EE"/>
            <w:u w:val="single"/>
          </w:rPr>
          <w:t>marketbeat.com</w:t>
        </w:r>
      </w:hyperlink>
      <w:r>
        <w:t>)</w:t>
      </w:r>
      <w:r/>
    </w:p>
    <w:p>
      <w:pPr>
        <w:pStyle w:val="ListNumber"/>
        <w:spacing w:line="240" w:lineRule="auto"/>
        <w:ind w:left="720"/>
      </w:pPr>
      <w:r/>
      <w:hyperlink r:id="rId12">
        <w:r>
          <w:rPr>
            <w:color w:val="0000EE"/>
            <w:u w:val="single"/>
          </w:rPr>
          <w:t>https://www.tradingview.com/news/tradingview%3A889fb49f33e10%3A0-piper-sandler-reports-q1-2026-net-revenues-474-4m-net-income-65-2m-adj-eps-1-00/</w:t>
        </w:r>
      </w:hyperlink>
      <w:r>
        <w:t xml:space="preserve"> - Piper Sandler reported first-quarter 2026 results with net revenues of $474.4 million and net income attributable to the company of $65.2 million, or $0.92 per diluted common share. On an adjusted basis, the firm reported adjusted net income of $71.9 million and adjusted diluted earnings per share of $1.00. The board declared a quarterly cash dividend of $0.20 per share and completed a four-for-one forward stock split effective March 24, 2026. (</w:t>
      </w:r>
      <w:hyperlink r:id="rId18">
        <w:r>
          <w:rPr>
            <w:color w:val="0000EE"/>
            <w:u w:val="single"/>
          </w:rPr>
          <w:t>tradingview.com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what-is-northland-securities-forecast-for-pipr-q1-earnings-2026-05-04/" TargetMode="External"/><Relationship Id="rId10" Type="http://schemas.openxmlformats.org/officeDocument/2006/relationships/hyperlink" Target="https://www.marketbeat.com/instant-alerts/piper-sandler-companies-q1-earnings-call-highlights-2026-05-02/" TargetMode="External"/><Relationship Id="rId11" Type="http://schemas.openxmlformats.org/officeDocument/2006/relationships/hyperlink" Target="https://www.marketbeat.com/instant-alerts/piper-sandler-companies-nysepipr-issues-earnings-results-2026-05-02/" TargetMode="External"/><Relationship Id="rId12" Type="http://schemas.openxmlformats.org/officeDocument/2006/relationships/hyperlink" Target="https://www.tradingview.com/news/tradingview%3A889fb49f33e10%3A0-piper-sandler-reports-q1-2026-net-revenues-474-4m-net-income-65-2m-adj-eps-1-00/" TargetMode="External"/><Relationship Id="rId13" Type="http://schemas.openxmlformats.org/officeDocument/2006/relationships/hyperlink" Target="https://www.noahwire.com" TargetMode="External"/><Relationship Id="rId14" Type="http://schemas.openxmlformats.org/officeDocument/2006/relationships/hyperlink" Target="https://www.marketbeat.com/instant-alerts/piper-sandler-companies-q1-earnings-call-highlights-2026-05-02/?utm_source=openai" TargetMode="External"/><Relationship Id="rId15" Type="http://schemas.openxmlformats.org/officeDocument/2006/relationships/hyperlink" Target="https://www.marketbeat.com/instant-alerts/piper-sandler-companies-nysepipr-issues-earnings-results-2026-05-02/?utm_source=openai" TargetMode="External"/><Relationship Id="rId16" Type="http://schemas.openxmlformats.org/officeDocument/2006/relationships/hyperlink" Target="https://www.marketbeat.com/instant-alerts/northland-securities-lifts-earnings-estimates-for-formfactor-2026-05-04/" TargetMode="External"/><Relationship Id="rId17" Type="http://schemas.openxmlformats.org/officeDocument/2006/relationships/hyperlink" Target="https://www.marketbeat.com/instant-alerts/northland-securities-lifts-earnings-estimates-for-formfactor-2026-05-04/?utm_source=openai" TargetMode="External"/><Relationship Id="rId18" Type="http://schemas.openxmlformats.org/officeDocument/2006/relationships/hyperlink" Target="https://www.tradingview.com/news/tradingview%3A889fb49f33e10%3A0-piper-sandler-reports-q1-2026-net-revenues-474-4m-net-income-65-2m-adj-eps-1-0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