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RTX forecasts record backlog and accelerates 2026 investment plans amid robust demand and output gains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RTX used its annual meeting to project confidence in the demand outlook for both commercial aerospace and defence, with chief executive Chris Calio telling shareowners that the company’s backlog had reached a record $271 billion, up 25% on the year. The meeting, held virtually on 30 April, also served as a showcase for RTX’s push to expand output, deepen investment and present itself as a company still benefiting from strong airline traffic and heightened global security needs. The company said those trends are feeding orders for new aircraft products, aftermarket services and advanced military systems. </w:t>
      </w:r>
      <w:r/>
    </w:p>
    <w:p>
      <w:r/>
      <w:r>
        <w:t xml:space="preserve">Calio said RTX plans to spend more than $10.5 billion in 2026 on capital expenditure and company- and customer-funded research and development, after investing more than $10 billion last year. He pointed to targeted capacity additions in Columbus, Georgia, and Huntsville, Alabama, along with further work at Collins Aerospace to support radar systems and air traffic modernisation. According to RTX, the company is also pursuing 10 cross-company technology roadmaps spanning areas including propulsion, microelectronics and integrated battlespace capabilities. </w:t>
      </w:r>
      <w:r/>
    </w:p>
    <w:p>
      <w:r/>
      <w:r>
        <w:t xml:space="preserve">Operationally, the chief executive highlighted what he described as broad-based gains across the group. Pratt &amp; Whitney lifted maintenance, repair and overhaul output on the PW1100 GTF engine by 26% last year, while first-quarter output was up 23% year on year, helping reduce aircraft-on-ground pressure. Raytheon increased production across several critical programmes by 20%, including GEM-T for Patriot, AMRAAM and Coyote, and Calio said total munitions output in the first quarter rose by more than 40% from a year earlier. </w:t>
      </w:r>
      <w:r/>
    </w:p>
    <w:p>
      <w:r/>
      <w:r>
        <w:t xml:space="preserve">The company is also leaning on its internal productivity programme, with Calio saying RTX ran almost 12,000 CORE events last year and has linked factories representing more than half of annual manufacturing hours to its data and analytics platform. He said the aim is to connect 60% of manufacturing hours by year-end. One example cited by the company was Andover, Massachusetts, where circuit card production cycle times were cut by about 35% in 2025. </w:t>
      </w:r>
      <w:r/>
    </w:p>
    <w:p>
      <w:r/>
      <w:r>
        <w:t xml:space="preserve">Shareowners approved all 10 director nominees, an advisory resolution on executive pay and the reappointment of PricewaterhouseCoopers as auditor. According to the company, the pay proposal passed with 96.24% support and the auditor vote with 95.17%. Calio was joined by senior executives including chief financial officer Neil G. Mitchill Jr and chief human resources officer Dantaya Williams, who outlined compensation, development and retention programmes for more than 105,000 employees, while general counsel Raja Maharajh discussed human rights due diligence and board oversight of ethics and compliance.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[4]</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[7]</w:t>
        </w:r>
      </w:hyperlink>
      <w:r>
        <w:t xml:space="preserve">- Paragraph 4: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[7]</w:t>
        </w:r>
      </w:hyperlink>
      <w:r>
        <w:t xml:space="preserve">- Paragraph 5: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https://www.marketbeat.com/instant-alerts/rtx-annual-meeting-calio-touts-record-271b-backlog-output-gains-and-big-2026-investment-plans-2026-05-04/</w:t>
        </w:r>
      </w:hyperlink>
      <w:r>
        <w:t xml:space="preserve"> - Please view link - unable to able to access data</w:t>
      </w:r>
      <w:r/>
    </w:p>
    <w:p>
      <w:pPr>
        <w:pStyle w:val="ListNumber"/>
        <w:spacing w:line="240" w:lineRule="auto"/>
        <w:ind w:left="720"/>
      </w:pPr>
      <w:r/>
      <w:hyperlink r:id="rId9">
        <w:r>
          <w:rPr>
            <w:color w:val="0000EE"/>
            <w:u w:val="single"/>
          </w:rPr>
          <w:t>https://www.marketbeat.com/instant-alerts/rtx-annual-meeting-calio-touts-record-271b-backlog-output-gains-and-big-2026-investment-plans-2026-05-04/</w:t>
        </w:r>
      </w:hyperlink>
      <w:r>
        <w:t xml:space="preserve"> - RTX Corporation's 2026 annual meeting highlighted a record $271 billion backlog, a 25% year-over-year increase. CEO Chris Calio emphasized strong demand in both commercial aerospace and defense sectors, citing global airline travel growth and the need for advanced defense technologies. The company plans to invest over $10.5 billion in 2026 for capacity expansion and technology development, including a 30% output increase in Columbus, Georgia, and a 50% boost in Huntsville, Alabama. Operational improvements, such as a 26% rise in Pratt &amp; Whitney's PW1100 GTF engine MRO output, were also discussed. Shareholders approved all director nominees, executive compensation, and the appointment of PricewaterhouseCoopers as independent auditor. The meeting underscored RTX's commitment to innovation, execution, and leveraging its scale to meet evolving market demands.</w:t>
      </w:r>
      <w:r/>
    </w:p>
    <w:p>
      <w:pPr>
        <w:pStyle w:val="ListNumber"/>
        <w:spacing w:line="240" w:lineRule="auto"/>
        <w:ind w:left="720"/>
      </w:pPr>
      <w:r/>
      <w:hyperlink r:id="rId10">
        <w:r>
          <w:rPr>
            <w:color w:val="0000EE"/>
            <w:u w:val="single"/>
          </w:rPr>
          <w:t>https://investors.rtx.com/shareowner-services/annual-meeting</w:t>
        </w:r>
      </w:hyperlink>
      <w:r>
        <w:t xml:space="preserve"> - RTX Corporation's 2026 Annual Meeting was held virtually on April 30, 2026, at 8:00 AM EDT. Shareholders participated via webcast at www.virtualshareholdermeeting.com/RTX2026. The meeting included discussions on the election of 10 director nominees, an advisory vote on executive compensation, and the appointment of PricewaterhouseCoopers as the independent auditor until the next annual meeting. The 2026 Proxy Statement and 2025 Annual Report were available for download, providing detailed information on the company's governance and financial performance.</w:t>
      </w:r>
      <w:r/>
    </w:p>
    <w:p>
      <w:pPr>
        <w:pStyle w:val="ListNumber"/>
        <w:spacing w:line="240" w:lineRule="auto"/>
        <w:ind w:left="720"/>
      </w:pPr>
      <w:r/>
      <w:hyperlink r:id="rId11">
        <w:r>
          <w:rPr>
            <w:color w:val="0000EE"/>
            <w:u w:val="single"/>
          </w:rPr>
          <w:t>https://investors.rtx.com/financial-information/annual-reports</w:t>
        </w:r>
      </w:hyperlink>
      <w:r>
        <w:t xml:space="preserve"> - RTX Corporation's Reports &amp; Proxy Statements section offers comprehensive financial documents, including the 2026 Proxy Statement and 2025 Annual Report. These documents provide insights into the company's financial performance, governance structures, and strategic initiatives. The 2026 Proxy Statement outlines proposals for the election of directors, executive compensation, and auditor appointments, while the 2025 Annual Report presents detailed financial statements and analyses of the company's operations and market position.</w:t>
      </w:r>
      <w:r/>
    </w:p>
    <w:p>
      <w:pPr>
        <w:pStyle w:val="ListNumber"/>
        <w:spacing w:line="240" w:lineRule="auto"/>
        <w:ind w:left="720"/>
      </w:pPr>
      <w:r/>
      <w:hyperlink r:id="rId14">
        <w:r>
          <w:rPr>
            <w:color w:val="0000EE"/>
            <w:u w:val="single"/>
          </w:rPr>
          <w:t>https://www.stockadora.com/annual-report/reports/rtx-corp/0000101829-26-000006/</w:t>
        </w:r>
      </w:hyperlink>
      <w:r>
        <w:t xml:space="preserve"> - RTX Corporation's 2026 10-K Annual Report Summary provides key financial metrics, including total revenue of $70 billion, a 7% increase driven by strong demand. The report highlights a robust order backlog exceeding $190 billion, offering significant revenue visibility. Strategic portfolio transformations through key divestitures generated $3.5 billion, focusing on higher-growth areas. The report also projects mid-single-digit revenue growth for the upcoming fiscal year, reflecting the company's positive outlook and strategic direction.</w:t>
      </w:r>
      <w:r/>
    </w:p>
    <w:p>
      <w:pPr>
        <w:pStyle w:val="ListNumber"/>
        <w:spacing w:line="240" w:lineRule="auto"/>
        <w:ind w:left="720"/>
      </w:pPr>
      <w:r/>
      <w:hyperlink r:id="rId15">
        <w:r>
          <w:rPr>
            <w:color w:val="0000EE"/>
            <w:u w:val="single"/>
          </w:rPr>
          <w:t>https://world.infonasional.com/rtx-forecasts-growth-record-backlog</w:t>
        </w:r>
      </w:hyperlink>
      <w:r>
        <w:t xml:space="preserve"> - RTX Corporation forecasts strong growth, with a record backlog of $268 billion as of January 27, 2026, a 23% increase year-over-year. CEO Chris Calio highlighted strong sales, adjusted earnings per share, and free cash flow in the fourth quarter. Adjusted sales for the full year were $88.6 billion, up $9 billion year-over-year, or 11% organically. The company anticipates continued growth driven by durable demand for its products and services and operational improvements.</w:t>
      </w:r>
      <w:r/>
    </w:p>
    <w:p>
      <w:pPr>
        <w:pStyle w:val="ListNumber"/>
        <w:spacing w:line="240" w:lineRule="auto"/>
        <w:ind w:left="720"/>
      </w:pPr>
      <w:r/>
      <w:hyperlink r:id="rId12">
        <w:r>
          <w:rPr>
            <w:color w:val="0000EE"/>
            <w:u w:val="single"/>
          </w:rPr>
          <w:t>https://stockanalysis.com/stocks/rtx/transcripts/</w:t>
        </w:r>
      </w:hyperlink>
      <w:r>
        <w:t xml:space="preserve"> - RTX Corporation's earnings call transcripts provide detailed insights into the company's financial performance and strategic initiatives. The Q1 2026 earnings call, held on April 21, 2026, reported strong results with 10% organic sales growth, 21% higher adjusted earnings per share, and a record backlog. Full-year guidance for sales and earnings per share was raised, driven by robust demand and major defense awards. The transcripts also highlight key initiatives, including ramping munitions production, advancing technology roadmaps, and operational improvements through the CORE system.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rtx-annual-meeting-calio-touts-record-271b-backlog-output-gains-and-big-2026-investment-plans-2026-05-04/" TargetMode="External"/><Relationship Id="rId10" Type="http://schemas.openxmlformats.org/officeDocument/2006/relationships/hyperlink" Target="https://investors.rtx.com/shareowner-services/annual-meeting" TargetMode="External"/><Relationship Id="rId11" Type="http://schemas.openxmlformats.org/officeDocument/2006/relationships/hyperlink" Target="https://investors.rtx.com/financial-information/annual-reports" TargetMode="External"/><Relationship Id="rId12" Type="http://schemas.openxmlformats.org/officeDocument/2006/relationships/hyperlink" Target="https://stockanalysis.com/stocks/rtx/transcripts/" TargetMode="External"/><Relationship Id="rId13" Type="http://schemas.openxmlformats.org/officeDocument/2006/relationships/hyperlink" Target="https://www.noahwire.com" TargetMode="External"/><Relationship Id="rId14" Type="http://schemas.openxmlformats.org/officeDocument/2006/relationships/hyperlink" Target="https://www.stockadora.com/annual-report/reports/rtx-corp/0000101829-26-000006/" TargetMode="External"/><Relationship Id="rId15" Type="http://schemas.openxmlformats.org/officeDocument/2006/relationships/hyperlink" Target="https://world.infonasional.com/rtx-forecasts-growth-record-backlo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