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Singapore Competition Law 2026: Practical Q&amp;A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lawyers and in-house counsel are braced for clearer rules , Practical Law's 2026 Q&amp;A, authored by Allen &amp; Gledhill partners, lays out how Singapore handles restraints of trade, dominance and merger control, why it matters for deal timetables, and what to watch when planning a joint venture.</w:t>
      </w:r>
      <w:r/>
    </w:p>
    <w:p>
      <w:r/>
      <w:r>
        <w:t>Essential Takeaways</w:t>
      </w:r>
      <w:r/>
      <w:r/>
    </w:p>
    <w:p>
      <w:pPr>
        <w:pStyle w:val="ListBullet"/>
        <w:spacing w:line="240" w:lineRule="auto"/>
        <w:ind w:left="720"/>
      </w:pPr>
      <w:r/>
      <w:r>
        <w:rPr>
          <w:b/>
        </w:rPr>
        <w:t>Who enforces it:</w:t>
      </w:r>
      <w:r>
        <w:t xml:space="preserve"> The Competition and Consumer Commission of Singapore (CCCS) administers the Competition Act and issues key guidance, so your compliance steps start with its rules. </w:t>
      </w:r>
      <w:r/>
    </w:p>
    <w:p>
      <w:pPr>
        <w:pStyle w:val="ListBullet"/>
        <w:spacing w:line="240" w:lineRule="auto"/>
        <w:ind w:left="720"/>
      </w:pPr>
      <w:r/>
      <w:r>
        <w:rPr>
          <w:b/>
        </w:rPr>
        <w:t>Restraints covered:</w:t>
      </w:r>
      <w:r>
        <w:t xml:space="preserve"> Horizontal and vertical restraints, monopolistic conduct and abuse of dominance are all squarely in scope, with exemptions and exclusions available in narrow cases. </w:t>
      </w:r>
      <w:r/>
    </w:p>
    <w:p>
      <w:pPr>
        <w:pStyle w:val="ListBullet"/>
        <w:spacing w:line="240" w:lineRule="auto"/>
        <w:ind w:left="720"/>
      </w:pPr>
      <w:r/>
      <w:r>
        <w:rPr>
          <w:b/>
        </w:rPr>
        <w:t>Merger control basics:</w:t>
      </w:r>
      <w:r>
        <w:t xml:space="preserve"> Notification thresholds, substantive tests, and timelines are explained , there’s a Merger Notification Flowchart to guide parties through filing and clearance. </w:t>
      </w:r>
      <w:r/>
    </w:p>
    <w:p>
      <w:pPr>
        <w:pStyle w:val="ListBullet"/>
        <w:spacing w:line="240" w:lineRule="auto"/>
        <w:ind w:left="720"/>
      </w:pPr>
      <w:r/>
      <w:r>
        <w:rPr>
          <w:b/>
        </w:rPr>
        <w:t>Practical quirks:</w:t>
      </w:r>
      <w:r>
        <w:t xml:space="preserve"> Confidentiality, publicity rules and possible remedies mean the process can stretch your deal timetable if you’re not prepared. </w:t>
      </w:r>
      <w:r/>
    </w:p>
    <w:p>
      <w:pPr>
        <w:pStyle w:val="ListBullet"/>
        <w:spacing w:line="240" w:lineRule="auto"/>
        <w:ind w:left="720"/>
      </w:pPr>
      <w:r/>
      <w:r>
        <w:rPr>
          <w:b/>
        </w:rPr>
        <w:t>Dispute routes:</w:t>
      </w:r>
      <w:r>
        <w:t xml:space="preserve"> Penalties, third-party claims and appeal mechanisms exist; getting advice early reduces risk and surprise enforcement costs.</w:t>
      </w:r>
      <w:r/>
      <w:r/>
    </w:p>
    <w:p>
      <w:pPr>
        <w:pStyle w:val="Heading2"/>
      </w:pPr>
      <w:r>
        <w:t>What the 2026 Q&amp;A tells you first: a no-nonsense overview</w:t>
      </w:r>
      <w:r/>
    </w:p>
    <w:p>
      <w:r/>
      <w:r>
        <w:t>The Practical Law update starts with a clear map of the terrain, and it feels refreshingly practical , think checklists, not theory. It opens with the scope of the Competition Act and explains how CCCS applies the law in everyday commercial settings, so you can picture whether your arrangement looks risky. For anyone who negotiates supplier contracts or price-setting arrangements, the detail on horizontal and vertical restraints hits the mark: there’s a focus on the conduct that actually raises red flags, not abstract hypotheticals.</w:t>
      </w:r>
      <w:r/>
    </w:p>
    <w:p>
      <w:r/>
      <w:r>
        <w:t>Background context matters. Singapore’s competition framework has matured in recent years, with more guidance and precedent from CCCS, and the update reflects that steady regulatory sharpening. If you run cross-border operations, note that the Q&amp;A flags how Singapore’s approach compares to other jurisdictions , useful when aligning global compliance playbooks.</w:t>
      </w:r>
      <w:r/>
    </w:p>
    <w:p>
      <w:pPr>
        <w:pStyle w:val="Heading2"/>
      </w:pPr>
      <w:r>
        <w:t>Restraints of trade and dominance: what to watch in practice</w:t>
      </w:r>
      <w:r/>
    </w:p>
    <w:p>
      <w:r/>
      <w:r>
        <w:t>The Q&amp;A walks through which behaviours are treated as anti-competitive , price-fixing, market allocation, bid-rigging at the horizontal level, and resale price maintenance or restrictive supply terms at the vertical level. It also explains abuse of dominance: exclusionary conduct that harms competition rather than rivals’ competitiveness per se.</w:t>
      </w:r>
      <w:r/>
    </w:p>
    <w:p>
      <w:r/>
      <w:r>
        <w:t>Owners and commercial teams will appreciate the practical examples, because they turn abstract duties into everyday decisions: how you draft distribution agreements, how you handle selective discounts, and when information exchanges cross the line. CCCS guidance and exclusions carve out legitimate business practices, but the update underlines that exemptions are narrowly construed, so document your commercial justification.</w:t>
      </w:r>
      <w:r/>
    </w:p>
    <w:p>
      <w:r/>
      <w:r>
        <w:t>Practical tip: keep contemporaneous business records showing pro-competitive rationale for restrictive clauses and run a short legal check before finalising long-term exclusivity or non-compete terms.</w:t>
      </w:r>
      <w:r/>
    </w:p>
    <w:p>
      <w:pPr>
        <w:pStyle w:val="Heading2"/>
      </w:pPr>
      <w:r>
        <w:t>Merger control: timing, thresholds and the flowchart you’ll actually use</w:t>
      </w:r>
      <w:r/>
    </w:p>
    <w:p>
      <w:r/>
      <w:r>
        <w:t>Mergers are where timing becomes tactical. The Q&amp;A summarises notification thresholds and walks readers through mandatory filing triggers, the substantive test for anti-competitive effects, and the typical clearance timelines. The included Merger Notification Flowchart is a handy decision tool , it helps teams determine whether a filing is required and what the likely process looks like.</w:t>
      </w:r>
      <w:r/>
    </w:p>
    <w:p>
      <w:r/>
      <w:r>
        <w:t>Confidentiality and publicity rules get special attention. Parties often underestimate how much information CCCS seeks and how publicity around a review can affect customers or rivals. Remedies are also outlined: divestments, behavioural commitments and other undertakings that can be negotiated to secure clearance.</w:t>
      </w:r>
      <w:r/>
    </w:p>
    <w:p>
      <w:r/>
      <w:r>
        <w:t>Practical tip: build the merger timetable into your SPA , allow for Phase 1 and possible Phase 2 reviews, and negotiate break fees or long-stop dates if the transaction is time-sensitive.</w:t>
      </w:r>
      <w:r/>
    </w:p>
    <w:p>
      <w:pPr>
        <w:pStyle w:val="Heading2"/>
      </w:pPr>
      <w:r>
        <w:t>Joint ventures, exemptions and the carve-outs that matter</w:t>
      </w:r>
      <w:r/>
    </w:p>
    <w:p>
      <w:r/>
      <w:r>
        <w:t>The update doesn’t treat joint ventures as a footnote. It describes the legal approach to equity and contractual JVs, and when a collaborative project might be seen as creating a new economic entity subject to merger control or as a pro-competitive alliance exempt from strict scrutiny. That distinction matters if control is split or if the JV coordinates pricing or distribution.</w:t>
      </w:r>
      <w:r/>
    </w:p>
    <w:p>
      <w:r/>
      <w:r>
        <w:t>Exclusions and exemptions from CCCS are covered with an eye to real-world use cases: technical collaborations, certain co‑operation for efficiency gains, and public-interest carve-outs. The message is pragmatic , there’s room for cooperation that benefits consumers, but parties must show clear efficiencies that outweigh anti-competitive effects.</w:t>
      </w:r>
      <w:r/>
    </w:p>
    <w:p>
      <w:r/>
      <w:r>
        <w:t>Practical tip: if your JV involves rivals or substantial coordination, prepare an efficiencies dossier up front. It’ll help if you need to justify the arrangement to regulators.</w:t>
      </w:r>
      <w:r/>
    </w:p>
    <w:p>
      <w:pPr>
        <w:pStyle w:val="Heading2"/>
      </w:pPr>
      <w:r>
        <w:t>Enforcement, penalties and what follow-on claims mean for business risk</w:t>
      </w:r>
      <w:r/>
    </w:p>
    <w:p>
      <w:r/>
      <w:r>
        <w:t>Enforcement is robust. The Q&amp;A outlines potential penalties for infringements, including fines and behavioural remedies, and explains the pathway for third-party civil claims and appeals. Owners should note that CCCS investigations can trigger concurrent regulatory or civil exposure, and that leniency programmes exist for cartel reporting.</w:t>
      </w:r>
      <w:r/>
    </w:p>
    <w:p>
      <w:r/>
      <w:r>
        <w:t>This section reads like a risk register: short-term disruption from investigations, medium-term costs from remedies or fines, and long-term compliance burdens. The update encourages proactive compliance programmes and internal reporting lines to reduce the likelihood of surprise enforcement action.</w:t>
      </w:r>
      <w:r/>
    </w:p>
    <w:p>
      <w:r/>
      <w:r>
        <w:t>Practical tip: consider a competition law audit before signing major contracts or closing acquisitions , the cost of prevention usually beats the price of penalties and remedies.</w:t>
      </w:r>
      <w:r/>
    </w:p>
    <w:p>
      <w:pPr>
        <w:pStyle w:val="Heading2"/>
      </w:pPr>
      <w:r>
        <w:t>Why this matters now and what to do next</w:t>
      </w:r>
      <w:r/>
    </w:p>
    <w:p>
      <w:r/>
      <w:r>
        <w:t>Singapore’s competition regime keeps pace with increasingly complex markets and cross-border deals, and the 2026 Practical Law Q&amp;A is a pragmatic primer for anyone involved in commercial strategy, M&amp;A or regulatory affairs. It’s not a substitute for legal advice, but it helps you spot the real issues early and prepare appropriate documentation and timelines.</w:t>
      </w:r>
      <w:r/>
    </w:p>
    <w:p>
      <w:r/>
      <w:r>
        <w:t>So, if you’re planning a merger, drafting supply terms, or exploring a JV, take the Q&amp;A as a prompt to pause and map your competition compliance. A little preparation now can save a lot of delay and cost later.</w:t>
      </w:r>
      <w:r/>
    </w:p>
    <w:p>
      <w:r/>
      <w:r>
        <w:t>It's a small compliance step that can make every deal smoother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5">
        <w:r>
          <w:rPr>
            <w:color w:val="0000EE"/>
            <w:u w:val="single"/>
          </w:rPr>
          <w:t>[6]</w:t>
        </w:r>
      </w:hyperlink>
      <w:r>
        <w:t xml:space="preserve">, </w:t>
      </w:r>
      <w:hyperlink r:id="rId13">
        <w:r>
          <w:rPr>
            <w:color w:val="0000EE"/>
            <w:u w:val="single"/>
          </w:rPr>
          <w:t>[5]</w:t>
        </w:r>
      </w:hyperlink>
      <w:r>
        <w:t xml:space="preserve">- Paragraph 6: </w:t>
      </w:r>
      <w:hyperlink r:id="rId14">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https://www.allenandgledhill.com/sg/perspectives/articles/32897/sgkh-practical-law-competition-law-in-singapore-2026</w:t>
        </w:r>
      </w:hyperlink>
      <w:r>
        <w:t xml:space="preserve"> - Please view link - unable to able to access data</w:t>
      </w:r>
      <w:r/>
    </w:p>
    <w:p>
      <w:pPr>
        <w:pStyle w:val="ListNumber"/>
        <w:spacing w:line="240" w:lineRule="auto"/>
        <w:ind w:left="720"/>
      </w:pPr>
      <w:r/>
      <w:hyperlink r:id="rId10">
        <w:r>
          <w:rPr>
            <w:color w:val="0000EE"/>
            <w:u w:val="single"/>
          </w:rPr>
          <w:t>https://www.ccs.gov.sg/anti-competitive-practices/legislation-and-guidelines/competition-act-and-guidelines/</w:t>
        </w:r>
      </w:hyperlink>
      <w:r>
        <w:t xml:space="preserve"> - The Competition and Consumer Commission of Singapore (CCCS) provides comprehensive information on the Competition Act and its guidelines, detailing prohibitions on anti-competitive agreements, abuse of dominance, and mergers that substantially lessen competition. The Act encompasses three key prohibitions: anti-competitive agreements, abuse of a dominant position, and mergers and acquisitions that substantially lessen competition. The guidelines aim to assist businesses in understanding how the CCCS administers and enforces infringements of these prohibitions, enhancing transparency and clarity in the competition law regime.</w:t>
      </w:r>
      <w:r/>
    </w:p>
    <w:p>
      <w:pPr>
        <w:pStyle w:val="ListNumber"/>
        <w:spacing w:line="240" w:lineRule="auto"/>
        <w:ind w:left="720"/>
      </w:pPr>
      <w:r/>
      <w:hyperlink r:id="rId12">
        <w:r>
          <w:rPr>
            <w:color w:val="0000EE"/>
            <w:u w:val="single"/>
          </w:rPr>
          <w:t>https://www.ccs.gov.sg/anti-competitive-practices/legislation-and-guidelines/understanding-competition-act/</w:t>
        </w:r>
      </w:hyperlink>
      <w:r>
        <w:t xml:space="preserve"> - The CCCS enforces the Competition Act to prevent anti-competitive agreements, abuse of dominance, and mergers that substantially lessen competition, ensuring a fair and dynamic market in Singapore. The Act prohibits activities such as agreements that prevent, restrict, or distort competition, abuse of dominance, and mergers that substantially lessen competition. The CCCS adopts a two-pronged approach of enforcement and advocacy, focusing on activities with significant adverse impacts on the economy and promoting a strong competitive culture.</w:t>
      </w:r>
      <w:r/>
    </w:p>
    <w:p>
      <w:pPr>
        <w:pStyle w:val="ListNumber"/>
        <w:spacing w:line="240" w:lineRule="auto"/>
        <w:ind w:left="720"/>
      </w:pPr>
      <w:r/>
      <w:hyperlink r:id="rId11">
        <w:r>
          <w:rPr>
            <w:color w:val="0000EE"/>
            <w:u w:val="single"/>
          </w:rPr>
          <w:t>https://www.ccs.gov.sg/anti-competitive-practices/legislation-and-guidelines/exclusions-and-exemptions</w:t>
        </w:r>
      </w:hyperlink>
      <w:r>
        <w:t xml:space="preserve"> - This page outlines exclusions and exemptions under the Competition Act. The Act applies to all private sector undertakings capable of carrying out commercial and economic activities, regardless of ownership. However, it does not apply to activities undertaken by the Government, statutory boards, or any person acting on their behalf. The page also provides information on the specific areas of exclusion and exemption, offering clarity on the scope of the Act's applicability.</w:t>
      </w:r>
      <w:r/>
    </w:p>
    <w:p>
      <w:pPr>
        <w:pStyle w:val="ListNumber"/>
        <w:spacing w:line="240" w:lineRule="auto"/>
        <w:ind w:left="720"/>
      </w:pPr>
      <w:r/>
      <w:hyperlink r:id="rId13">
        <w:r>
          <w:rPr>
            <w:color w:val="0000EE"/>
            <w:u w:val="single"/>
          </w:rPr>
          <w:t>https://www.drewnapier.com/Publications/Lex-Panoramic-Dominance-2026-Singapore-chapter</w:t>
        </w:r>
      </w:hyperlink>
      <w:r>
        <w:t xml:space="preserve"> - Drew &amp; Napier LLC co-authored the Singapore chapter of Lexology Panoramic: Dominance 2026. The chapter provides details on the abuse of dominance prohibition under the Singapore Competition Act, including insights into enforcement procedures and proceedings conducted by the Competition and Consumer Commission of Singapore. It offers a comprehensive overview of the legal framework governing dominance and its enforcement in Singapore.</w:t>
      </w:r>
      <w:r/>
    </w:p>
    <w:p>
      <w:pPr>
        <w:pStyle w:val="ListNumber"/>
        <w:spacing w:line="240" w:lineRule="auto"/>
        <w:ind w:left="720"/>
      </w:pPr>
      <w:r/>
      <w:hyperlink r:id="rId15">
        <w:r>
          <w:rPr>
            <w:color w:val="0000EE"/>
            <w:u w:val="single"/>
          </w:rPr>
          <w:t>https://www.drewnapier.com/Publications/ICLG-Cartels-Leniency-2026-Singapore-chapter</w:t>
        </w:r>
      </w:hyperlink>
      <w:r>
        <w:t xml:space="preserve"> - Drew &amp; Napier LLC co-authored the Singapore chapter of ICLG Cartels &amp; Leniency 2026. The chapter provides an overview of the legislative framework for the prohibition of cartels, investigative powers of the competition authority, and sanctions on companies and individuals. It also discusses the leniency programme, whistle-blowing procedures, and the appeal process set out under the Competition (Appeals) Regulations in Singapore, offering valuable insights into the enforcement of cartel laws.</w:t>
      </w:r>
      <w:r/>
    </w:p>
    <w:p>
      <w:pPr>
        <w:pStyle w:val="ListNumber"/>
        <w:spacing w:line="240" w:lineRule="auto"/>
        <w:ind w:left="720"/>
      </w:pPr>
      <w:r/>
      <w:hyperlink r:id="rId14">
        <w:r>
          <w:rPr>
            <w:color w:val="0000EE"/>
            <w:u w:val="single"/>
          </w:rPr>
          <w:t>https://www.drewnapier.com/Publications/Lexology-Panoramic-Merger-Control-2026-Singapore</w:t>
        </w:r>
      </w:hyperlink>
      <w:r>
        <w:t xml:space="preserve"> - Drew &amp; Napier LLC co-authored the Singapore chapter of Lexology Panoramic: Merger Control 2026. The chapter provides an overview of local insights into legislation and regulators, the notification and clearance timetable, enforcement practice, and recent trends in merger control in Singapore. It offers a comprehensive understanding of the regulatory landscape governing mergers and acquisitions, including procedural and substantive aspects.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enandgledhill.com/sg/perspectives/articles/32897/sgkh-practical-law-competition-law-in-singapore-2026" TargetMode="External"/><Relationship Id="rId10" Type="http://schemas.openxmlformats.org/officeDocument/2006/relationships/hyperlink" Target="https://www.ccs.gov.sg/anti-competitive-practices/legislation-and-guidelines/competition-act-and-guidelines/" TargetMode="External"/><Relationship Id="rId11" Type="http://schemas.openxmlformats.org/officeDocument/2006/relationships/hyperlink" Target="https://www.ccs.gov.sg/anti-competitive-practices/legislation-and-guidelines/exclusions-and-exemptions" TargetMode="External"/><Relationship Id="rId12" Type="http://schemas.openxmlformats.org/officeDocument/2006/relationships/hyperlink" Target="https://www.ccs.gov.sg/anti-competitive-practices/legislation-and-guidelines/understanding-competition-act/" TargetMode="External"/><Relationship Id="rId13" Type="http://schemas.openxmlformats.org/officeDocument/2006/relationships/hyperlink" Target="https://www.drewnapier.com/Publications/Lex-Panoramic-Dominance-2026-Singapore-chapter" TargetMode="External"/><Relationship Id="rId14" Type="http://schemas.openxmlformats.org/officeDocument/2006/relationships/hyperlink" Target="https://www.drewnapier.com/Publications/Lexology-Panoramic-Merger-Control-2026-Singapore" TargetMode="External"/><Relationship Id="rId15" Type="http://schemas.openxmlformats.org/officeDocument/2006/relationships/hyperlink" Target="https://www.drewnapier.com/Publications/ICLG-Cartels-Leniency-2026-Singapore-chap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