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Confirms Sale of Stake in NatWest to Reduce Ownership to 26.95%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UK Government confirmed the sale of a portion of its stake in NatWest, reducing its shareholding in the bank to 26.95%. This move is part of an ongoing effort to return the bank, which received substantial bailouts during the 2008 and 2009 financial crisis, to private ownership. The government initially acquired an 84% stake in the bank, then known as Royal Bank of Scotland.</w:t>
      </w:r>
      <w:r/>
    </w:p>
    <w:p>
      <w:r/>
      <w:r>
        <w:t>The Treasury has been actively reducing its ownership in NatWest and aims to fully divest its stake by 2025 or 2026, as reiterated by Chancellor Jeremy Hunt in the Spring budget. The upcoming summer will feature a public share sale targeting individual investors, marking a shift from the previous sales predominantly to institutional investors.</w:t>
      </w:r>
      <w:r/>
    </w:p>
    <w:p>
      <w:r/>
      <w:r>
        <w:t>NatWest's CEO, Paul Thwaite, endorsed the government’s strategy, highlighting its alignment with the bank's goals of moving into complete private ownership for the benefit of all shareholders. Additionally, earlier this year, NatWest proposed an increase to its shareholders in the buyback limit of government-held shares, from just under 5% to 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