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Australian Federal Budget 2024 Addresses Cost of Living, Energy Costs, and Demographic Support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Australian federal budget for 2024, announced on May 14, 2024, includes a range of measures aimed at addressing the cost of living, energy costs, and providing support to various demographic segments. All Australian households are set to benefit from a $300 energy bill rebate, part of a broader $3.5 billion package intended to ease inflation. Approximately one million small businesses will also receive a $325 electricity cost rebate.</w:t>
      </w:r>
      <w:r/>
    </w:p>
    <w:p>
      <w:r/>
      <w:r>
        <w:t>In terms of support for renters, the government plans to enhance the Commonwealth Rent Assistance by boosting funding by $1.9 billion over five years. This increase will assist nearly one million renting households, targeting low-income earners on welfare payments. Despite these measures, middle and high-income earners and aspiring homeowners face challenges due to ongoing increases in rent and limited immediate solutions to the housing crisis.</w:t>
      </w:r>
      <w:r/>
    </w:p>
    <w:p>
      <w:r/>
      <w:r>
        <w:t>The budget further supports renewable energy sector advancements, including a $1.5 billion investment in solar and battery manufacturing. Additional provisions include funding for women's health and parental leave benefits, increased road safety funding, and support for students and small businesses. Tax cheats and fraudsters are also targeted with strengthened enforcement measures.</w:t>
      </w:r>
      <w:r/>
    </w:p>
    <w:p>
      <w:r/>
      <w:r>
        <w:t>On the other hand, the budget brings stringent measures for the National Disability Insurance Scheme (NDIS), cutting projected spending by $14 billion over four years, a point of contention considering the growing demands on the service.</w:t>
      </w:r>
      <w:r/>
    </w:p>
    <w:p>
      <w:r/>
      <w:r>
        <w:t>Despite a surplus projected for 2023/24, budget deficits are anticipated in the following years, influenced by decreasing iron ore and coal prices. The government also expects to address inflation, anticipated to moderate to 2.75 percent by December 2024, helped by these budgetary measures.</w:t>
      </w:r>
      <w:r/>
    </w:p>
    <w:p>
      <w:r/>
      <w:r>
        <w:t>Broadly, the budget aims to tackle immediate financial pressures facing Australians while boosting support for renewable energy and maintaining focus on health and infrastructure. However, the housing sector, particularly for middle-income earners and first-home buyers, still awaits more robust support.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