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Challenges for Foreign Businesses in China Amid Economic Slowdown and Local Competition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Foreign businesses in China, once bullish on the potential of the Chinese consumer market, are facing challenges due to an economic slowdown and intensified competition from local firms. The Chinese economy, which grew by 5.2% in the previous year, is experiencing its slowest expansion since 1990 aside from pandemic years. Among those affected is Tesla, which saw its market share in China decrease to 4% in April from 7.7% in March, leading the company to implement significant price reductions.</w:t>
      </w:r>
      <w:r/>
    </w:p>
    <w:p>
      <w:r/>
      <w:r>
        <w:t>Chinese companies like BYD are outperforming their American counterparts, with BYD reporting a 29% increase in EV deliveries. The broader market conditions have also compelled companies like Apple and Starbucks to adjust prices and marketing strategies as Chinese consumers become more budget-conscious. Huawei, for example, has seen a 70% increase in smartphone sales, contrasting with Apple's struggles.</w:t>
      </w:r>
      <w:r/>
    </w:p>
    <w:p>
      <w:r/>
      <w:r>
        <w:t>The price-sensitive nature of the market has led to aggressive pricing tactics across various sectors, including technology and food service. Starbucks and McDonald’s, among others, have introduced more competitive pricing structures to maintain their market positions.</w:t>
      </w:r>
      <w:r/>
    </w:p>
    <w:p>
      <w:r/>
      <w:r>
        <w:t>Industry experts suggest that while foreign brands face challenges from high operational costs and competitive local businesses, China remains a significant global market due to its potential middle-class growth. However, they caution that expectations for success must be moderated in light of the current economic climate and consumer behaviors.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