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Currys Raises Profit Forecast for FY, Cites Sales Growth Amid Consumer Spending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Currys, a prominent UK-based electronics retailer, has raised its profit forecast for the financial year ending April 27, predicting a pre-tax profit of at least £115 million, up from prior analyst expectations of £105 million. This adjustment marks a slight decline from the previous year's £119 million. This announcement comes after a period of improved sales performance, despite initial slow demand influenced by a cost-of-living crisis impacting consumer spending on high-priced items.</w:t>
      </w:r>
      <w:r/>
    </w:p>
    <w:p>
      <w:r/>
      <w:r>
        <w:t>The company reported a 2% growth in like-for-like sales during the 16 weeks leading up to April 27, contrasting with a yearly drop of 2% in like-for-like sales. Currys also highlighted its effective cost management strategies, which have significantly mitigated the impacts of inflation, expecting a year-end net cash position around £95 million.</w:t>
      </w:r>
      <w:r/>
    </w:p>
    <w:p>
      <w:r/>
      <w:r>
        <w:t>Earlier in the year, Currys attracted potential takeover interest from U.S.-based Elliott Advisors and China's retail giant JD.com. However, both suitors eventually withdrew, with Elliott Advisors citing unsuccessful engagement attempts with Currys' board, including a proposal valued over £750 million which was deemed too low by Currys. JD.com also contemplated a bid but opted not to proceed.</w:t>
      </w:r>
      <w:r/>
    </w:p>
    <w:p>
      <w:r/>
      <w:r>
        <w:t>This financial update coincides with ongoing strategic adjustments within the company, including a focus on the UK and Ireland following the divestment of its operations in Greece and Cyprus. The company’s Nordics segment has shown signs of recovery, with forecasts suggesting a substantial increase in earnings from this region.</w:t>
      </w:r>
      <w:r/>
    </w:p>
    <w:p>
      <w:r/>
      <w:r>
        <w:t>Currys CEO, Alex Baldock, expressed optimism about sustained growth and operational improvements across the company’s markets, particularly highlighting stronger sales, enhanced margins from new services and solutions, and disciplined cost management. He emphasized that these factors collectively contribute to the company's positive financial outlook for the forthcoming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