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Greggs Reports Strong Sales Growth and Expansion Plans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Greggs, the UK bakery chain, has reported a 7.4% rise in like-for-like sales during the first 19 weeks of 2024. As of May 11, Greggs expanded its total number of shops to 2,500 nationwide, an increase net of 27 new stores. Alongside this growth, Greggs experienced a successful launch of a new range of iced drinks, which includes coffee, flavoured lemonades, and coolers, now available in 300 shops with plans to expand to 700.</w:t>
      </w:r>
      <w:r/>
    </w:p>
    <w:p>
      <w:r/>
      <w:r>
        <w:t>Despite a brief systems outage last month that temporarily closed numerous stores including those in London, Sheffield, and Birmingham, the company asserts that it remains on track with its full-year expectations. Greggs also anticipates a 4% to 5% rise in its own costs over the year. Further expansions are planned, with intentions to open an additional 160 shops by year-end.</w:t>
      </w:r>
      <w:r/>
    </w:p>
    <w:p>
      <w:r/>
      <w:r>
        <w:t>The company has also been focusing on diversifying its menu, incorporating more health-oriented offerings like a vegetarian pesto and mozzarella pasta dish, and feta and tomato pasta. Additionally, recent marketing initiatives have boosted demand for its pizza boxes and hot food items like southern fried chicken goujons and potato wedges.</w:t>
      </w:r>
      <w:r/>
    </w:p>
    <w:p>
      <w:r/>
      <w:r>
        <w:t>Greggs expressed confidence in its strategic plan and its ability to adapt and grow within a challenging market environment.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