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Interest Rates Pose Financial Challenges for Low-Income Earners in the United States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of May 2024, high interest rates set by the Federal Reserve have imposed significant financial challenges on low- and moderate-income earners in the United States, amidst what is otherwise a resilient national economy. These elevated rates, the highest in decades, have led to increased costs for borrowers, disproportionately affecting those less financially secure. Indicative data highlights that a greater percentage of lower-income Americans and minorities carry credit card balances, making them more vulnerable to rising borrowing costs.</w:t>
      </w:r>
      <w:r/>
    </w:p>
    <w:p>
      <w:r/>
      <w:r>
        <w:t>Individuals from less affluent backgrounds, such as Ora Dorsey from Clarksville, Tennessee, find themselves in precarious financial situations, exacerbated by high rates that inflate their debt burdens. Despite diligent efforts to clear her debts accumulated from health-related work absences, Dorsey, among others, continues to struggle with the compounding interest.</w:t>
      </w:r>
      <w:r/>
    </w:p>
    <w:p>
      <w:r/>
      <w:r>
        <w:t>The economic divide is accentuated by the fact that while wealthier households may benefit from high returns on savings and low variable-rate debts, poorer households, without such financial buffers, face harsher realities. Costs of living, including rents and essential goods, have surged, placing additional strains on those with lesser means.</w:t>
      </w:r>
      <w:r/>
    </w:p>
    <w:p>
      <w:r/>
      <w:r>
        <w:t>Despite the broader economic stability and low unemployment rates, the persistence of high interest rates could jeopardize future financial equity and accessibility, particularly impacting young adults' ability to own homes or live independently. The Federal Reserve indicates a cautious approach moving forward, balancing inflation control with the resultant economic stratification issues.</w:t>
      </w:r>
      <w:r/>
    </w:p>
    <w:p>
      <w:r/>
      <w:r>
        <w:t>Overall, the enduring high-interest rate environment reveals a deepening economic inequality, impacting various demographic segments differently, and posing long-term challenges in achieving financial stability for the most vulnerable groups.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