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Unemployment Rate Climbs to 4.3% Amid Cooling Job Market and Inflation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unemployment rate has increased to 4.3% in the three months leading up to March, marking the highest level in nearly a year, as reported by the Office for National Statistics (ONS). This is a slight rise from the previous rate of 4.2%. The data indicates that the job market is showing signs of cooling, with a steady decline in job vacancies continuing for the 22nd consecutive month, though the numbers still surpass pre-pandemic levels.</w:t>
      </w:r>
      <w:r/>
    </w:p>
    <w:p>
      <w:r/>
      <w:r>
        <w:t>In April, the number of UK workers on payrolls also saw a significant reduction, decreasing by 85,000 to 30.2 million, marking the largest drop since May 2020. Additionally, job sector vacancies dropped by 26,000 quarter-on-quarter, down to 898,000 in the three months to April.</w:t>
      </w:r>
      <w:r/>
    </w:p>
    <w:p>
      <w:r/>
      <w:r>
        <w:t>Despite the cooling job market, average earnings growth remained unchanged at 6% in the three months to March. This wage growth has continuously outstripped the Consumer Prices Index (CPI) inflation, which clocked in at 2.4% for the same period — the highest margin since August 2021.</w:t>
      </w:r>
      <w:r/>
    </w:p>
    <w:p>
      <w:r/>
      <w:r>
        <w:t>The ONS highlights ongoing challenges in the labor market influenced by pandemic repercussions. The Bank of England is closely monitoring wages as part of their strategy to bring inflation back to the 2% target. With the National Living Wage increasing nearly 10% last month, the Bank's decisions on interest rates are likely influenced by efforts to balance inflation with economic growth.</w:t>
      </w:r>
      <w:r/>
    </w:p>
    <w:p>
      <w:r/>
      <w:r>
        <w:t>Chancellor Jeremy Hunt has noted that reforms related to childcare, pensions tax, and welfare are expected to enhance labor market participation. This comes alongside the UK's recent emergence from a recession, with a GDP rise of 0.6% in the first quarter of the year.</w:t>
      </w:r>
      <w:r/>
    </w:p>
    <w:p>
      <w:r/>
      <w:r>
        <w:t>The economic indicators point to a mild economic rebound, with cautious outlooks regarding the potential rise in interest rates, currently at their highest since 2008.</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