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Burberry Faces Significant Profit Decline Amid Global Luxury Spending Slowdown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Burberry Reports Significant Profit Decline Amid Global Luxury Spending Slowdown</w:t>
      </w:r>
      <w:r/>
    </w:p>
    <w:p>
      <w:r/>
      <w:r>
        <w:t>Burberry has reported a sharp decline in profits, attributing the downturn to a global slowdown in luxury spending. For the fiscal year ending March 30, the fashion brand's pre-tax profit fell by 40% to £383 million, while underlying earnings dropped 34% year-on-year. This comes as high-end consumers curtail expenditures amid increased costs of living and inflation.</w:t>
      </w:r>
      <w:r/>
    </w:p>
    <w:p>
      <w:r/>
      <w:r>
        <w:t>Sales in Burberry stores witnessed a 12% decline in the American market. Conversely, in Europe, the Middle East, and Africa, sales rose 4% for the full year but fell 3% in the final quarter. Sales in Asia initially surged early in the year but plummeted by 17% in the fourth quarter, particularly in mainland China.</w:t>
      </w:r>
      <w:r/>
    </w:p>
    <w:p>
      <w:r/>
      <w:r>
        <w:t>Burberry’s wholesale business helped stabilize overall revenue, which saw only a 4% annual drop to £2.97 billion. However, net debt soared by 144% to £1.13 billion, partly due to £400 million in share buybacks. CEO Jonathan Akeroyd mentioned that the company remains “comfortable” with its debt levels. Burberry anticipates future challenges due to changes in foreign exchange rates and plans for wholesale revenue to fall by 25% in the first half of the next fiscal year.</w:t>
      </w:r>
      <w:r/>
    </w:p>
    <w:p>
      <w:r/>
      <w:r>
        <w:t>The UK market showed particularly weak performance with a 17% drop in sales in the fourth quarter, attributed to the abolishment of tax-free shopping for tourists. Burberry's outlook sees continued challenges, emphasizing operational efficiencies to combat the ongoing economic difficulties.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