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Inflation and Wage Growth Trends in the U.S. and Australia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Inflation and Wage Growth Dynamics in the U.S. and Australia</w:t>
      </w:r>
      <w:r/>
    </w:p>
    <w:p>
      <w:r/>
      <w:r>
        <w:t>In the U.S., consumer inflation saw a slight decline in April 2024, after three months of elevated readings. According to the Labor Department, prices rose by 0.3 percent from March to April, compared to 0.4 percent in the prior month. Year-over-year, inflation decreased marginally from 3.5 percent to 3.4 percent. Underlying inflation, excluding food and energy costs, also eased.</w:t>
      </w:r>
      <w:r/>
    </w:p>
    <w:p>
      <w:r/>
      <w:r>
        <w:t>This slight reduction provides cautious optimism for the Federal Reserve and President Joe Biden’s administration, particularly with Biden's re-election campaign underway. Federal Reserve Chair Jerome Powell emphasized the need for "greater confidence" in bringing inflation down to the 2 percent target before considering rate cuts.</w:t>
      </w:r>
      <w:r/>
    </w:p>
    <w:p>
      <w:r/>
      <w:r>
        <w:t>Economists are divided on the recent inflation uptick, with some attributing it to specific factors like auto insurance costs and high apartment rents. Powell noted that while new leases show slower rent increases, these rents have not yet fully reflected in government statistics.</w:t>
      </w:r>
      <w:r/>
    </w:p>
    <w:p>
      <w:r/>
      <w:r>
        <w:t>Meanwhile, in Australia, wage growth figures from the Australian Bureau of Statistics indicate that real wages continue to struggle against inflation. In December, annual wage growth hit 4.2 percent, marking the fastest increase since 2009. However, by March 2024, this growth had tapered to 4.1 percent, with inflation rising by 1 percent in the same quarter.</w:t>
      </w:r>
      <w:r/>
    </w:p>
    <w:p>
      <w:r/>
      <w:r>
        <w:t>Public sector wages lag behind the private sector, except in New South Wales, Queensland, and Tasmania. Over the past year, despite a nominal increase in real wages, essential items like rent and energy bills have outpaced wage growth, particularly impacting low- and middle-income earners. Projections suggest that by 2028, wage values may only return to 2014 levels, indicating a long recovery for living standards.</w:t>
      </w:r>
      <w:r/>
    </w:p>
    <w:p>
      <w:r/>
      <w:r>
        <w:t>This gives a comprehensive update on the economic landscapes in both countries, highlighting the ongoing challenges with inflation and wage growth.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