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UK Insurance Payments Drive Shift to Monthly Basis Amid Increasing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Insurance Payments Increasingly Shift to Monthly Basis in the UK</w:t>
      </w:r>
      <w:r/>
    </w:p>
    <w:p>
      <w:r/>
      <w:r>
        <w:t xml:space="preserve">Recent research from Premium Credit reveals that nearly three-quarters (71%) of car and home owners in the UK are opting to pay for their insurance on a monthly basis, up from 70% in March 2023 and 66% in March 2022. Increasing insurance costs have driven this shift, with car insurance now averaging £635 annually and home insurance £364, according to the Association of British Insurers. </w:t>
      </w:r>
      <w:r/>
    </w:p>
    <w:p>
      <w:r/>
      <w:r>
        <w:t>By choosing monthly payments, consumers end up paying an average of 20% more due to the loan agreements required for these plans. Despite the higher overall cost, this method allows people to avoid large annual bills. Premium Credit's director, Adam Morghem, noted that monthly payments are a practical budgeting solution for many UK residents. ***</w:t>
      </w:r>
      <w:r/>
    </w:p>
    <w:p>
      <w:r/>
      <w:r>
        <w:rPr>
          <w:b/>
        </w:rPr>
        <w:t>Inflation Shows Slight Ease in April 2024</w:t>
      </w:r>
      <w:r/>
    </w:p>
    <w:p>
      <w:r/>
      <w:r>
        <w:t>In April 2024, inflation in the United States showed a slight decrease, with consumer prices rising by 3.4% year-over-year, down from 3.5% in March, according to the latest Consumer Price Index report by the Bureau of Labor Statistics. On a monthly basis, prices increased by 0.3%, a slower rise compared to the previous months. The primary drivers were gasoline and shelter costs, accounting for more than 70% of the monthly increase.</w:t>
      </w:r>
      <w:r/>
    </w:p>
    <w:p>
      <w:r/>
      <w:r>
        <w:t>Core CPI, excluding volatile food and energy prices, also indicated progress, rising by 3.6% annually, the lowest rate since April 2021. These figures come amidst ongoing discussions among Federal Reserve officials on whether current inflation trends justify lowering interest rates this year. The energy index rose by 1.1% for the month, with gas increasing by 2.8%. The food index remained stable.</w:t>
      </w:r>
      <w:r/>
    </w:p>
    <w:p>
      <w:r/>
      <w:r>
        <w:rPr>
          <w:b/>
        </w:rPr>
        <w:t>Summary</w:t>
      </w:r>
      <w:r/>
    </w:p>
    <w:p>
      <w:r/>
      <w:r>
        <w:t>Rising insurance costs in the UK have led more car and home owners to opt for monthly payments to manage their budgets, despite the higher overall cost. Meanwhile, US inflation showed slight improvement in April 2024, with annual consumer price increases easing to 3.4%. Housing and gasoline costs remain significant contributors to inflation.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