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Inflation Data to Guide Federal Reserve's Interest Rate Decision, Burberry Profits Decline, Global Stock Markets Reach Record Highs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Inflation Data and Market Reactions</w:t>
      </w:r>
      <w:r/>
    </w:p>
    <w:p>
      <w:r/>
      <w:r>
        <w:t>On Wednesday, key data on U.S. inflation will be released, crucial for determining the Federal Reserve’s future actions on interest rates. Economists predict a slight decrease in the annual inflation rate to 3.4% for April, down from 3.5% in March. Monthly inflation is expected to rise by 0.3%, compared to March’s 0.4%.</w:t>
      </w:r>
      <w:r/>
    </w:p>
    <w:p>
      <w:r/>
      <w:r>
        <w:t>Core inflation, which excludes volatile food and energy prices, is projected to decline to 3.6% from 3.8%. Fed Chair Jerome Powell, speaking at a conference in Amsterdam, noted that inflation has been slow to drop despite high interest rates and emphasized the need for patience. Recent comments from Powell have dimmed hopes for imminent rate cuts.</w:t>
      </w:r>
      <w:r/>
    </w:p>
    <w:p>
      <w:r/>
      <w:r>
        <w:t>Investor sentiment has been mixed; while global markets reached new highs, the U.S. dollar hit a one-month low against the euro. Slower inflation and recent rises in jobless claims have sparked speculation that interest rate cuts might begin in September. Market analyst Fawad Razaqzada noted that persistent inflation and hawkish Fed sentiments have previously strengthened the dollar. The U.S. inflation report is scheduled for release at 1:30 PM BST.</w:t>
      </w:r>
      <w:r/>
    </w:p>
    <w:p>
      <w:r/>
      <w:r>
        <w:rPr>
          <w:b/>
        </w:rPr>
        <w:t>Burberry Profits Decline Amid Slowing Luxury Demand</w:t>
      </w:r>
      <w:r/>
    </w:p>
    <w:p>
      <w:r/>
      <w:r>
        <w:t>British luxury brand Burberry reported a 40% drop in profits for the fiscal year ending March, down to £383 million from £634 million the previous year. Despite a 4% fall in revenue, the company saw strong sales in outerwear and scarves. Burberry CEO Jonathan Akeroyd acknowledged challenging conditions and highlighted efforts to refocus the brand and improve operations. The company anticipates continued difficulties in the first half of the current fiscal year, with notable declines in sales in the Americas and mainland China.</w:t>
      </w:r>
      <w:r/>
    </w:p>
    <w:p>
      <w:r/>
      <w:r>
        <w:rPr>
          <w:b/>
        </w:rPr>
        <w:t>Global Stock Markets Reach Record Highs</w:t>
      </w:r>
      <w:r/>
    </w:p>
    <w:p>
      <w:r/>
      <w:r>
        <w:t xml:space="preserve">Global equity markets achieved new record levels ahead of the anticipated U.S. inflation report. The MSCI All Country World Index and the tech-focused Nasdaq both reached new highs, buoyed by gains in leading tech stocks. The U.K.'s FTSE 100 also contributed to this rally, hitting several record highs in recent weeks. </w:t>
      </w:r>
      <w:r/>
    </w:p>
    <w:p>
      <w:r/>
      <w:r>
        <w:t>(Word Count: 347)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