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Australian Treasurer Reveals $45 Million Budget Plan for Clean Energy and Innovation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Federal Budget and Housing Market Updates in Australia</w:t>
      </w:r>
      <w:r/>
    </w:p>
    <w:p>
      <w:r/>
      <w:r>
        <w:rPr>
          <w:b/>
        </w:rPr>
        <w:t>Jim Chalmers Discusses Federal Budget Plans</w:t>
        <w:br/>
      </w:r>
      <w:r>
        <w:t>Jim Chalmers, Australia's treasurer, spoke with The Guardian's political editor, Karen Middleton, to shed light on the latest federal budget. Chalmers announced a $45 million advertising campaign under the "Future Made in Australia" policy to articulate the government's plans for investments in clean-energy technology and innovation. He defended the expenditure, stating it is necessary to communicate significant changes concerning energy, industry, and human capital transformations.</w:t>
      </w:r>
      <w:r/>
    </w:p>
    <w:p>
      <w:r/>
      <w:r>
        <w:rPr>
          <w:b/>
        </w:rPr>
        <w:t>Slight Increase in Rental Vacancies</w:t>
        <w:br/>
      </w:r>
      <w:r>
        <w:t>Australian rental markets witnessed a minor rise in vacancy rates in April, according to PropTrack. The national vacancy rate increased by 0.09 percentage points, hitting 1.21%. Although vacancies rose, competition remains high, continuing to drive rental prices upward. Canberra and Perth reported the most substantial changes, with Perth seeing its first increase since July 2022.</w:t>
      </w:r>
      <w:r/>
    </w:p>
    <w:p>
      <w:r/>
      <w:r>
        <w:rPr>
          <w:b/>
        </w:rPr>
        <w:t>Rhode Island's Housing Growth</w:t>
        <w:br/>
      </w:r>
      <w:r>
        <w:t>Rhode Island reported the second slowest housing unit growth in the U.S. from July 2022 to July 2023, with a growth rate of just 0.2%. Despite efforts to boost the housing stock, only 1,075 new units were added across the state. Washington County saw the largest increase at 0.4%, adding 290 units. Nationwide, housing stock grew by 1.1%, a slight decrease from the previous year’s growth of 1.2%.</w:t>
      </w:r>
      <w:r/>
    </w:p>
    <w:p>
      <w:r/>
      <w:r>
        <w:t>These updates reflect ongoing challenges and efforts in managing economic and housing conditions both in Australia and Rhode Island.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