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Over 6,000 Bank Branches Closed in the UK Since 2015, with More Closures Expected</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number of bank branches in the UK that have closed since 2015 surpassed 6,000 on May 17, 2024, according to Which?, a consumer advocacy group. This figure represents over 60% of the bank branch network at the start of that period. Eight Barclays branches closed on May 17, pushing the total to 6,005. The closures include branches in locations such as Alperton in London, Andover, Bangor, Bracknell, Hornchurch, Inverness, Liverpool, and Streatham in London.</w:t>
      </w:r>
      <w:r/>
    </w:p>
    <w:p>
      <w:r/>
      <w:r>
        <w:t>Barclays has closed 1,216 branches, the most of any bank, while NatWest Group, covering NatWest, Royal Bank of Scotland, and Ulster Bank, has closed 1,360 branches. Lloyds Banking Group, including Lloyds Bank, Halifax, and Bank of Scotland, has shut 1,146 branches. An additional 200 closures are scheduled for the remainder of 2024 and 24 more for 2025.</w:t>
      </w:r>
      <w:r/>
    </w:p>
    <w:p>
      <w:r/>
      <w:r>
        <w:t>While digital banking use has surged, many people still rely on face-to-face banking services. Initiatives to address this gap include the rollout of banking hubs, which offer shared facilities and counter services operated by the Post Office. The UK’s 50th banking hub recently opened, with plans to reach 100 by the end of the year.</w:t>
      </w:r>
      <w:r/>
    </w:p>
    <w:p>
      <w:r/>
      <w:r>
        <w:t>Barclays maintains in-person services through its Barclays Local network, including locations in libraries, town halls, mobile vans, and banking pods. UK Finance and other industry representatives emphasize the importance of balancing digital and physical banking options to meet varied customer needs.</w:t>
      </w:r>
      <w:r/>
    </w:p>
    <w:p>
      <w:pPr>
        <w:pStyle w:val="Heading3"/>
      </w:pPr>
      <w:r>
        <w:t>Key Constituencies Without Bank Branches by Year-End</w:t>
      </w:r>
      <w:r/>
    </w:p>
    <w:p>
      <w:r/>
      <w:r>
        <w:t>Several constituencies will lack a single bank branch by the end of 2024, including:</w:t>
      </w:r>
      <w:r/>
      <w:r/>
    </w:p>
    <w:p>
      <w:pPr>
        <w:pStyle w:val="ListBullet"/>
        <w:spacing w:line="240" w:lineRule="auto"/>
        <w:ind w:left="720"/>
      </w:pPr>
      <w:r/>
      <w:r>
        <w:t>Barnsley East</w:t>
      </w:r>
      <w:r/>
    </w:p>
    <w:p>
      <w:pPr>
        <w:pStyle w:val="ListBullet"/>
        <w:spacing w:line="240" w:lineRule="auto"/>
        <w:ind w:left="720"/>
      </w:pPr>
      <w:r/>
      <w:r>
        <w:t>Bolton West</w:t>
      </w:r>
      <w:r/>
    </w:p>
    <w:p>
      <w:pPr>
        <w:pStyle w:val="ListBullet"/>
        <w:spacing w:line="240" w:lineRule="auto"/>
        <w:ind w:left="720"/>
      </w:pPr>
      <w:r/>
      <w:r>
        <w:t>Bradford South</w:t>
      </w:r>
      <w:r/>
    </w:p>
    <w:p>
      <w:pPr>
        <w:pStyle w:val="ListBullet"/>
        <w:spacing w:line="240" w:lineRule="auto"/>
        <w:ind w:left="720"/>
      </w:pPr>
      <w:r/>
      <w:r>
        <w:t>Bury South</w:t>
      </w:r>
      <w:r/>
    </w:p>
    <w:p>
      <w:pPr>
        <w:pStyle w:val="ListBullet"/>
        <w:spacing w:line="240" w:lineRule="auto"/>
        <w:ind w:left="720"/>
      </w:pPr>
      <w:r/>
      <w:r>
        <w:t>Central Suffolk and North Ipswich</w:t>
      </w:r>
      <w:r/>
    </w:p>
    <w:p>
      <w:pPr>
        <w:pStyle w:val="ListBullet"/>
        <w:spacing w:line="240" w:lineRule="auto"/>
        <w:ind w:left="720"/>
      </w:pPr>
      <w:r/>
      <w:r>
        <w:t>Chatham and Aylesford</w:t>
      </w:r>
      <w:r/>
    </w:p>
    <w:p>
      <w:pPr>
        <w:pStyle w:val="ListBullet"/>
        <w:spacing w:line="240" w:lineRule="auto"/>
        <w:ind w:left="720"/>
      </w:pPr>
      <w:r/>
      <w:r>
        <w:t>Clwyd South</w:t>
      </w:r>
      <w:r/>
    </w:p>
    <w:p>
      <w:pPr>
        <w:pStyle w:val="ListBullet"/>
        <w:spacing w:line="240" w:lineRule="auto"/>
        <w:ind w:left="720"/>
      </w:pPr>
      <w:r/>
      <w:r>
        <w:t>Colne Valley</w:t>
      </w:r>
      <w:r/>
    </w:p>
    <w:p>
      <w:pPr>
        <w:pStyle w:val="ListBullet"/>
        <w:spacing w:line="240" w:lineRule="auto"/>
        <w:ind w:left="720"/>
      </w:pPr>
      <w:r/>
      <w:r>
        <w:t>Dagenham and Rainham</w:t>
      </w:r>
      <w:r/>
    </w:p>
    <w:p>
      <w:pPr>
        <w:pStyle w:val="ListBullet"/>
        <w:spacing w:line="240" w:lineRule="auto"/>
        <w:ind w:left="720"/>
      </w:pPr>
      <w:r/>
      <w:r>
        <w:t>Erith and Thamesmead</w:t>
      </w:r>
      <w:r/>
    </w:p>
    <w:p>
      <w:pPr>
        <w:pStyle w:val="ListBullet"/>
        <w:spacing w:line="240" w:lineRule="auto"/>
        <w:ind w:left="720"/>
      </w:pPr>
      <w:r/>
      <w:r>
        <w:t>Sedgefield</w:t>
      </w:r>
      <w:r/>
      <w:r/>
    </w:p>
    <w:p>
      <w:r/>
      <w:r>
        <w:t>This information reflects a significant change in consumer banking habits and highlights ongoing challenges for those needing in-person banking services.</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