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Sage CEO Affirms Commitment to London Stock Market Amid Concerns for High-Growth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Steve Hare, CEO of the accounting software firm Sage, has affirmed that the company has no intention of leaving the London stock market despite an ongoing exodus of firms. Hare expressed pride in Sage's UK roots and noted there are no barriers preventing the company from accessing the necessary capital for growth. Currently, 40% of its shareholders are based in the United States, which accounts for 45% of its first-half sales.</w:t>
      </w:r>
      <w:r/>
    </w:p>
    <w:p>
      <w:r/>
      <w:r>
        <w:t>Hare did, however, express concerns for high-growth firms, citing difficulties in accessing capital on the London market. He called for increased institutional investment and retail personal investing to support these companies.</w:t>
      </w:r>
      <w:r/>
    </w:p>
    <w:p>
      <w:r/>
      <w:r>
        <w:t>Amid these discussions, Chancellor Jeremy Hunt is reportedly planning a gathering of UK private company bosses to encourage more firms to list in London. Meanwhile, Sage reported pre-tax profits of £203 million for the six months ending March 31, up from £139 million the previous year, despite trimming its full-year revenue guidance. The company's shares fell by 9% in early afternoon trading.</w:t>
      </w:r>
      <w:r/>
    </w:p>
    <w:p>
      <w:r/>
      <w:r>
        <w:t xml:space="preserve">Separately, BT Group has announced an additional £3 billion in cost cuts by 2029 under new CEO Allison Kirkby. This comes after achieving an initial target of £3 billion in savings ahead of schedule. BT's pre-tax profits fell by 31% to £1.18 billion last year, with revenue rising 1% to £20.8 billion. The company continues to face pressure regarding its full-fibre broadband rollout and recent job cuts, aiming to reduce its workforce to between 75,000 and 90,000 by 2030. </w:t>
      </w:r>
      <w:r/>
    </w:p>
    <w:p>
      <w:r/>
      <w:r>
        <w:t>Kirkby also mentioned exploring options for BT's international business arms, and the company's shares rose by 9% in early trading.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