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Company Profits Soar Amid Cost-of-Living Crisis, Reveals Unite Study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UK Company Profits Increase Post-Pandemic, Says Unite</w:t>
      </w:r>
      <w:r/>
    </w:p>
    <w:p>
      <w:r/>
      <w:r>
        <w:rPr>
          <w:b/>
        </w:rPr>
        <w:t>London, May 16, 2024</w:t>
      </w:r>
      <w:r>
        <w:t xml:space="preserve"> – A recent study by Unite, the British trade union, reveals that average profit margins of nearly 17,000 UK companies have risen by approximately 30% compared with pre-pandemic levels. The union describes this phenomenon as a "corporate profiteering crisis," highlighting notable profit increases in sectors such as big banks, oil and gas, electricity generation, supermarkets, and shipping. </w:t>
      </w:r>
      <w:r/>
    </w:p>
    <w:p>
      <w:r/>
      <w:r>
        <w:t>Unite’s research indicates that these profit boosts have occurred during the cost-of-living crisis, a period marked by significant stagnation in wages. Sharon Graham, Unite's general secretary, criticized executives, investors, and politicians for prioritizing short-term profits and dividends over investments in industries and public goods.</w:t>
      </w:r>
      <w:r/>
    </w:p>
    <w:p>
      <w:r/>
      <w:r>
        <w:t>This study, identified as the largest since the pandemic, underscores concerns about the disparity between corporate profits and worker wages, pointing to an ongoing challenge for the UK economy.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