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Government Implements Radical Measures to Combat Housing Market Downturn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17, 2024, Chinese authorities announced significant measures to address the country's ongoing housing market downturn. In an unprecedented move, the government will commence purchasing unsold apartments nationwide. The plan was revealed shortly after economic data showed a persistent lack of buyer interest in the housing sector.</w:t>
      </w:r>
      <w:r/>
    </w:p>
    <w:p>
      <w:r/>
      <w:r>
        <w:t>Chinese Vice Premier He Lifeng led a video conference with officials to outline the strategy, which includes easing mortgage regulations. The purchased properties will be utilized for affordable housing. Although details on the funding and start date were not disclosed, this initiative marks a substantial policy shift akin to the U.S. government's Troubled Asset Relief Program (TARP) of 2008.</w:t>
      </w:r>
      <w:r/>
    </w:p>
    <w:p>
      <w:r/>
      <w:r>
        <w:t>Concurrent measures include a $41.5 billion loan program from the People’s Bank of China to aid state-owned enterprises in acquiring built but unsold housing. Data from the National Bureau of Statistics indicate a record high in unsold homes, totaling 748 million square meters as of March, and a marked decline in home prices.</w:t>
      </w:r>
      <w:r/>
    </w:p>
    <w:p>
      <w:r/>
      <w:r>
        <w:t>To stimulate the market, the central bank has reduced down payment requirements and eliminated a national mortgage interest rate, a move aimed at bolstering home sales. This approach follows extensive reductions in mortgage rates, which were already at historic lows.</w:t>
      </w:r>
      <w:r/>
    </w:p>
    <w:p>
      <w:r/>
      <w:r>
        <w:t>The Chinese government also raised $5.5 billion through its first sale of 30-year bonds, part of a larger $140 billion funding plan over six months, aiming to support its ambitious 5 percent economic growth target for the year.</w:t>
      </w:r>
      <w:r/>
    </w:p>
    <w:p>
      <w:r/>
      <w:r>
        <w:t>China's housing crisis stems from years of developer overborrowing and overbuilding, leading to defaults like that of China Evergrande in late 2021. This has impacted many Chinese families who invested heavily in real estate, traditionally seen as a primary avenue for building wealth.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