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FTSE 100 Set to Open with Key Financial Updates and Developments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FTSE 100 Updates and Key Financial News</w:t>
      </w:r>
      <w:r/>
    </w:p>
    <w:p>
      <w:r/>
      <w:r>
        <w:t>On Friday, May 17, the FTSE 100 index will open at 8am. Companies delivering reports and trading updates include GSK, Haleon, Sainsbury's, and Land Securities Group.</w:t>
      </w:r>
      <w:r/>
    </w:p>
    <w:p>
      <w:r/>
      <w:r>
        <w:rPr>
          <w:b/>
        </w:rPr>
        <w:t>Major Developments:</w:t>
      </w:r>
      <w:r/>
      <w:r/>
    </w:p>
    <w:p>
      <w:pPr>
        <w:pStyle w:val="ListBullet"/>
        <w:spacing w:line="240" w:lineRule="auto"/>
        <w:ind w:left="720"/>
      </w:pPr>
      <w:r/>
      <w:r>
        <w:t>HSBC's Major Shareholder Consideration: The largest investor in HSBC, the Chinese insurance group Ping An, is likely to reduce its 8% stake in Europe’s largest lender, a move that could benefit HSBC in its strategic efforts in Asia.</w:t>
      </w:r>
      <w:r/>
    </w:p>
    <w:p>
      <w:pPr>
        <w:pStyle w:val="ListBullet"/>
        <w:spacing w:line="240" w:lineRule="auto"/>
        <w:ind w:left="720"/>
      </w:pPr>
      <w:r/>
      <w:r>
        <w:t>Chevron's North Sea Exit: After more than fifty years, Chevron announces its intention to sell off its remaining oil and gas assets in the North Sea, potentially raising around £800 million.</w:t>
      </w:r>
      <w:r/>
    </w:p>
    <w:p>
      <w:pPr>
        <w:pStyle w:val="ListBullet"/>
        <w:spacing w:line="240" w:lineRule="auto"/>
        <w:ind w:left="720"/>
      </w:pPr>
      <w:r/>
      <w:r>
        <w:t>Land Securities Group Financial Results: Landsec, a major British commercial property firm, managed to narrow its losses last year. Despite an 8% fall in net tangible assets per share, positive rental growth and higher occupancy levels were reported. High-interest rates continue to impact the British commercial property sector.</w:t>
      </w:r>
      <w:r/>
    </w:p>
    <w:p>
      <w:pPr>
        <w:pStyle w:val="ListBullet"/>
        <w:spacing w:line="240" w:lineRule="auto"/>
        <w:ind w:left="720"/>
      </w:pPr>
      <w:r/>
      <w:r>
        <w:t>Dow Jones Milestone: The Dow Jones Industrial Average briefly surpassed the 40,000 mark, driven by investor optimism about potential rate cuts. It later closed at 39,869.38.</w:t>
      </w:r>
      <w:r/>
    </w:p>
    <w:p>
      <w:pPr>
        <w:pStyle w:val="ListBullet"/>
        <w:spacing w:line="240" w:lineRule="auto"/>
        <w:ind w:left="720"/>
      </w:pPr>
      <w:r/>
      <w:r>
        <w:t>GSK’s Haleon Stake Sale: GSK sold its remaining stake in Haleon for £1.25 billion, fully exiting its shareholding in the consumer health firm that demerged in July 2022. This sale raised the total proceeds to £3.9 billion.</w:t>
      </w:r>
      <w:r/>
    </w:p>
    <w:p>
      <w:pPr>
        <w:pStyle w:val="ListBullet"/>
        <w:spacing w:line="240" w:lineRule="auto"/>
        <w:ind w:left="720"/>
      </w:pPr>
      <w:r/>
      <w:r>
        <w:t>Sainsbury’s AI Partnership: Sainsbury's announced a five-year strategic partnership with Microsoft to leverage AI for enhancing personalized shopping experiences and improving operational efficiency.</w:t>
      </w:r>
      <w:r/>
    </w:p>
    <w:p>
      <w:pPr>
        <w:pStyle w:val="ListBullet"/>
        <w:spacing w:line="240" w:lineRule="auto"/>
        <w:ind w:left="720"/>
      </w:pPr>
      <w:r/>
      <w:r>
        <w:t>London Stock Exchange Outlook: Julia Hoggett, head of the London Stock Exchange, expressed optimism despite recent company exits. She anticipates a resurgence in listings, highlighting companies like Shein and Boots.</w:t>
      </w:r>
      <w:r/>
      <w:r/>
    </w:p>
    <w:p>
      <w:r/>
      <w:r>
        <w:t>These updates provide a snapshot of significant financial developments affecting various major companies and market indices.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