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Job Growth Dips in California and Massachusetts in April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California and Massachusetts Job Growth in April 2024</w:t>
      </w:r>
      <w:r/>
    </w:p>
    <w:p>
      <w:r/>
      <w:r>
        <w:t>California reported slow job growth in April 2024, adding a net of just 5,200 jobs, down from 18,200 in March, according to government data released on May 17, 2024. The state's unemployment rate remained the highest in the U.S. at 5.3%. Key sectors such as manufacturing, information, and professional and business services experienced job losses. Notably, the healthcare and social assistance sector gained 10,100 jobs, with significant growth over the past year.</w:t>
      </w:r>
      <w:r/>
    </w:p>
    <w:p>
      <w:r/>
      <w:r>
        <w:t>Meanwhile, Massachusetts saw job reductions for the second consecutive month in April 2024, losing 500 jobs after a decrease of 4,100 in March, according to U.S. Labor Department data. Despite these losses, the state's unemployment rate remained unchanged at 2.9%, below the national average. Job declines were most significant in the leisure and hospitality, manufacturing, and financial sectors.</w:t>
      </w:r>
      <w:r/>
    </w:p>
    <w:p>
      <w:r/>
      <w:r>
        <w:t>Both states are experiencing different economic challenges. California's high costs and regulatory environment continue to impact job growth, while Massachusetts faces labor market constraints due to a limited pool of workers and demographic factors. Nationwide, hiring has slowed as high interest rates affect economic activity.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