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Costs Impact Retirement Plans for Britons: Striving for a Moderate Standard of Living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Rising costs have significantly impacted the retirement plans of many Britons. According to the Pensions and Lifetime Savings Association (PLSA), only one in five future retirees can afford a "moderate" standard of living, which includes modest luxuries like occasional holidays and a new vehicle. A single retiree now needs a post-tax annual income of £31,300 to sustain such a lifestyle. This is a substantial increase from previous years, with the full flat-rate state pension only covering £11,502, leaving a gap of £24,480 to be filled by personal or workplace pensions.</w:t>
      </w:r>
      <w:r/>
    </w:p>
    <w:p>
      <w:r/>
      <w:r>
        <w:t>Achieving this target is challenging; purchasing an annuity for this level of guaranteed income would require £399,000, based on Legal &amp; General's estimates for a 66-year-old. Financial experts stress the importance of not over-relying on the state pension and suggest various strategies to bolster retirement savings. These include filling National Insurance gaps, maximizing employer pension contributions, managing investments proactively, avoiding high fees, consolidating pension pots, delaying state pension claims, and refraining from early pension withdrawal.</w:t>
      </w:r>
      <w:r/>
    </w:p>
    <w:p>
      <w:r/>
      <w:r>
        <w:t>Adjusting savings habits and investment strategies can make a significant difference, potentially increasing retirees' annual income by thousands. Monitoring and managing pension plans closely ensures that individuals can attain a comfortable retirement despite rising living costs.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