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FTSE 100 Sees Slight Increase Amid Market Volatility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FTSE 100 Ends Slightly Higher Amid Market Fluctuations</w:t>
      </w:r>
      <w:r/>
    </w:p>
    <w:p>
      <w:r/>
      <w:r>
        <w:t>On Monday, the FTSE 100 concluded trading with a minor increase, finishing 3.94 points higher at 8,424.2. Despite initial strong gains, the momentum dwindled as the day progressed. Notably, mining companies Fresnillo and Antofagasta benefited from positive trends in metal prices, particularly gold.</w:t>
      </w:r>
      <w:r/>
    </w:p>
    <w:p>
      <w:r/>
      <w:r>
        <w:t>Chris Beauchamp, the chief market analyst at IG, commented on the current market situation, noting that the index's recent rapid growth has transitioned into rangebound trading. Across Europe, the German Dax index and France's Cac 40 saw increases of 0.33% and 0.35%, respectively.</w:t>
      </w:r>
      <w:r/>
    </w:p>
    <w:p>
      <w:r/>
      <w:r>
        <w:t>In the US, major markets experienced slight declines after the Dow Jones reached a record high the previous week. The British pound also remained robust, closing at 1.270 USD and 1.169 Euros.</w:t>
      </w:r>
      <w:r/>
    </w:p>
    <w:p>
      <w:r/>
      <w:r>
        <w:t>On the corporate front, easyJet's shares fell by 3.2% following a decline in Ryanair's value despite its higher profits. Keywords Studios saw a significant surge, with shares rising 55.2% after announcing cooperation with Swedish private equity firm EQT Group on a potential £2 billion takeover. Victorian Plumbing's shares increased by 8.9% after acquiring rival Victoria Plum for £22.5 million.</w:t>
      </w:r>
      <w:r/>
    </w:p>
    <w:p>
      <w:r/>
      <w:r>
        <w:t>Meanwhile, the price of Brent crude oil rose by 0.4% to 81.51 USD per barrel after an initial surge due to false reports of the Iranian president's death in a helicopter crash.</w:t>
      </w:r>
      <w:r/>
    </w:p>
    <w:p>
      <w:r/>
      <w:r>
        <w:t>Major risers included Rolls-Royce, Fresnillo, and Weir Group, while notable fallers included easyJet, Burberry Group, and Ocado.</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