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Senate Inquiry Reveals Automakers' Link to Forced Labor Through Imported Parts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Senate Inquiry Finds Automakers Imported Parts Linked to Forced Labor</w:t>
      </w:r>
      <w:r/>
    </w:p>
    <w:p>
      <w:r/>
      <w:r>
        <w:t>A Senate Finance Committee investigation revealed that BMW, Jaguar Land Rover, and Volkswagen imported parts for their vehicles sourced from a Chinese supplier involved in forced labor practices in Xinjiang. The U.S. government had flagged the supplier, Sichuan Jingweida Technology Group (JWD), in December under the Uyghur Forced Labor Prevention Act. This act prohibits the import of goods from Xinjiang unless certified as free of forced labor.</w:t>
      </w:r>
      <w:r/>
    </w:p>
    <w:p>
      <w:r/>
      <w:r>
        <w:t>Despite being informed by their supplier, Lear Corp., BMW and Jaguar Land Rover reportedly continued importing the parts. BMW imported at least 8,000 MINI vehicles containing the flagged parts until April 2024 and stopped only after repeated questioning by the committee. Jaguar Land Rover ceased imports after April 22, 2024. Volkswagen took earlier corrective actions by replacing the parts before they entered the U.S. market.</w:t>
      </w:r>
      <w:r/>
    </w:p>
    <w:p>
      <w:r/>
      <w:r>
        <w:t>The investigation underscores the challenges automakers face in tracing complex supply chains and ensuring compliance with international human rights standards.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