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Biden faces fundraising reduction as Trump focuses on high-dollar donations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has faced a reduction in fundraising, raising $51 million in April 2024, down from $90 million in March. Despite this, his campaign and affiliated committees hold $192 million in cash, noted as the highest cash-on-hand figure for a Democratic candidate. Comparatively, former President Donald Trump raised $76 million in April in collaboration with the Republican National Committee (RNC), though his campaign finished the month with $49.1 million on hand.</w:t>
      </w:r>
      <w:r/>
    </w:p>
    <w:p>
      <w:r/>
      <w:r>
        <w:t>Both campaigns are actively fundraising as they prepare for the upcoming election. Trump’s heavy focus on high-dollar donations has contributed to his recent fundraising success. However, his legal issues have significantly drained resources, with his PAC Save America spending $3.3 million on legal fees in April alone, with total legal expenditures since 2021 nearing $80 million. To cover these costs, Save America has had to retrieve previously donated funds from the MAGA Inc. super PAC.</w:t>
      </w:r>
      <w:r/>
    </w:p>
    <w:p>
      <w:r/>
      <w:r>
        <w:t>In contrast, Biden’s campaign emphasizes grassroots support, with significant contributions from small-dollar donors. Biden’s team has used its funds to establish over 150 offices and muster more than 500 staffers in key battleground states, aiming to fortify its ground game.</w:t>
      </w:r>
      <w:r/>
    </w:p>
    <w:p>
      <w:r/>
      <w:r>
        <w:t>As the campaigns proceed, financial filings due in July will offer further clarity on funding dynamics between Biden and Trump’s efforts. The ongoing fundraising and legal battles underscore the financial strategies and challenges faced by both presidential candidates.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