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Manchester City clinches fourth consecutive Premier League title amid Financial Fair Play scrutiny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Manchester City has secured its fourth consecutive Premier League title amid ongoing scrutiny. The club faces 115 charges of alleged breaches of Financial Fair Play regulations, which span from 2009 to 2018, a period during which their Abu Dhabi ownership laid the foundation for their current success. The club has denied any wrongdoing.</w:t>
      </w:r>
      <w:r/>
    </w:p>
    <w:p>
      <w:r/>
      <w:r>
        <w:t>Premier League Chief Executive Richard Masters attended Arsenal's final match rather than City’s to avoid the potential PR issue of presenting the trophy to a club under investigation. Observers argue that City’s recent achievements may be tainted until the charges are resolved.</w:t>
      </w:r>
      <w:r/>
    </w:p>
    <w:p>
      <w:r/>
      <w:r>
        <w:t>The Premier League has been investigating since 2018, with the case not expected to be heard until October, with a resolution possibly extending well into 2024. Potential consequences, if City is found guilty, range from significant points deductions to expulsion from the league. The likelihood of titles being stripped remains remote.</w:t>
      </w:r>
      <w:r/>
    </w:p>
    <w:p>
      <w:r/>
      <w:r>
        <w:t>Amidst these allegations, rival fans and entities like Paddy Power have mocked City’s achievements by suggesting their titles should come with an asterisk. Pep Guardiola and his players, celebrated for their success, face a period of uncertainty as the legal process unfolds.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