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Red Lobster Files for Chapter 11 Bankruptcy Amid Legal Woes and Financial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Red Lobster, a prominent American seafood restaurant chain, filed for Chapter 11 bankruptcy on May 20, 2024. The company announced the closure of over 50 U.S. locations. Amid these developments, Donna Lowe, a former employee, has filed a lawsuit alleging she was laid off without the required notice. The suit seeks class action status and claims Red Lobster violated the federal WARN Act and the New Jersey WARN Act, which mandate 60 days' notice before mass layoffs.</w:t>
      </w:r>
      <w:r/>
    </w:p>
    <w:p>
      <w:r/>
      <w:r>
        <w:t>The company's financial struggles have been ongoing, exacerbated by a series of ownership changes and management shifts. Red Lobster has reported a 30% decline in customer visits since 2010 and sustained a $76 million loss in fiscal year 2023. Thai Union Group, which acquired a minority stake in 2020, is cited for several decisions that allegedly worsened the financial situation, including making an "endless shrimp" promotion permanent, resulting in an estimated $11 million loss.</w:t>
      </w:r>
      <w:r/>
    </w:p>
    <w:p>
      <w:r/>
      <w:r>
        <w:t>The bankruptcy allows Red Lobster to continue operations while it restructures, with $100 million in financing from its lenders. The case underscores the challenges facing legacy dining establishments in adapting to shifting consumer preferences and economic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