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Shareholders Challenge $40 Billion Elon Musk Compensation Package Ahead of Annual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coalition of Tesla shareholders, including New York City Comptroller Brad Lander, SOC Investment Group, and Amalgamated Bank, is advocating against the approval of a $40 billion compensation package for CEO Elon Musk. The group argues that the package does not align with the long-term growth and stability of the company. They also expressed concerns that the approval could lead to potential lawsuits alleging corporate waste, given Musk's part-time status due to other business commitments.</w:t>
      </w:r>
      <w:r/>
    </w:p>
    <w:p>
      <w:r/>
      <w:r>
        <w:t>The shareholders are challenging the package ahead of Tesla’s annual meeting on June 13, where stockholders will vote on the matter. They are additionally calling for votes against the re-election of board members Kimbal Musk and James Murdoch.</w:t>
      </w:r>
      <w:r/>
    </w:p>
    <w:p>
      <w:r/>
      <w:r>
        <w:t>Tesla, which posted record deliveries of over 1.8 million electric vehicles in 2023, has seen its stock price fall by 30 percent this year amid slowing EV demand and increased competition. Chairperson Robyn Denholm defended Musk’s compensation, highlighting significant company growth and stock value increase since the 2018 pay package was approved, and criticized the Delaware Court for blocking Musk’s previous $56 billion compensation package.</w:t>
      </w:r>
      <w:r/>
    </w:p>
    <w:p>
      <w:r/>
      <w:r>
        <w:t>Despite recent successes, Tesla faces challenges, including a drop in sales during the first quarter of 2023 and reduced profit margins following price cuts on some models. Furthermore, Tesla recently announced a workforce reduction of about 10 percent, affecting approximately 14,000 employees.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